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264" w:val="left" w:leader="none"/>
          <w:tab w:pos="8981" w:val="left" w:leader="none"/>
        </w:tabs>
        <w:spacing w:before="27"/>
        <w:ind w:left="940" w:right="0" w:firstLine="0"/>
        <w:jc w:val="left"/>
        <w:rPr>
          <w:rFonts w:ascii="黑体" w:eastAsia="黑体" w:hint="eastAsia"/>
          <w:b/>
          <w:sz w:val="32"/>
        </w:rPr>
      </w:pPr>
      <w:r>
        <w:rPr>
          <w:b/>
          <w:w w:val="99"/>
          <w:sz w:val="32"/>
          <w:u w:val="single"/>
        </w:rPr>
        <w:t> </w:t>
      </w:r>
      <w:r>
        <w:rPr>
          <w:b/>
          <w:sz w:val="32"/>
          <w:u w:val="single"/>
        </w:rPr>
        <w:tab/>
      </w:r>
      <w:r>
        <w:rPr>
          <w:rFonts w:ascii="黑体" w:eastAsia="黑体" w:hint="eastAsia"/>
          <w:b/>
          <w:sz w:val="32"/>
          <w:u w:val="single"/>
        </w:rPr>
        <w:t>上海财经大学</w:t>
      </w:r>
      <w:r>
        <w:rPr>
          <w:rFonts w:ascii="黑体" w:eastAsia="黑体" w:hint="eastAsia"/>
          <w:b/>
          <w:spacing w:val="-83"/>
          <w:sz w:val="32"/>
          <w:u w:val="single"/>
        </w:rPr>
        <w:t> </w:t>
      </w:r>
      <w:r>
        <w:rPr>
          <w:rFonts w:ascii="黑体" w:eastAsia="黑体" w:hint="eastAsia"/>
          <w:b/>
          <w:sz w:val="32"/>
          <w:u w:val="single"/>
        </w:rPr>
        <w:t>2020－2021</w:t>
      </w:r>
      <w:r>
        <w:rPr>
          <w:rFonts w:ascii="黑体" w:eastAsia="黑体" w:hint="eastAsia"/>
          <w:b/>
          <w:spacing w:val="-82"/>
          <w:sz w:val="32"/>
          <w:u w:val="single"/>
        </w:rPr>
        <w:t> </w:t>
      </w:r>
      <w:r>
        <w:rPr>
          <w:rFonts w:ascii="黑体" w:eastAsia="黑体" w:hint="eastAsia"/>
          <w:b/>
          <w:sz w:val="32"/>
          <w:u w:val="single"/>
        </w:rPr>
        <w:t>学年第</w:t>
      </w:r>
      <w:r>
        <w:rPr>
          <w:rFonts w:ascii="黑体" w:eastAsia="黑体" w:hint="eastAsia"/>
          <w:b/>
          <w:spacing w:val="-4"/>
          <w:sz w:val="32"/>
          <w:u w:val="single"/>
        </w:rPr>
        <w:t> </w:t>
      </w:r>
      <w:r>
        <w:rPr>
          <w:rFonts w:ascii="黑体" w:eastAsia="黑体" w:hint="eastAsia"/>
          <w:b/>
          <w:sz w:val="32"/>
          <w:u w:val="single"/>
        </w:rPr>
        <w:t>2</w:t>
      </w:r>
      <w:r>
        <w:rPr>
          <w:rFonts w:ascii="黑体" w:eastAsia="黑体" w:hint="eastAsia"/>
          <w:b/>
          <w:spacing w:val="-3"/>
          <w:sz w:val="32"/>
          <w:u w:val="single"/>
        </w:rPr>
        <w:t> </w:t>
      </w:r>
      <w:r>
        <w:rPr>
          <w:rFonts w:ascii="黑体" w:eastAsia="黑体" w:hint="eastAsia"/>
          <w:b/>
          <w:sz w:val="32"/>
          <w:u w:val="single"/>
        </w:rPr>
        <w:t>学期教学进度表</w:t>
        <w:tab/>
      </w:r>
    </w:p>
    <w:p>
      <w:pPr>
        <w:pStyle w:val="BodyText"/>
        <w:spacing w:line="20" w:lineRule="exact"/>
        <w:ind w:left="931"/>
        <w:rPr>
          <w:rFonts w:ascii="黑体"/>
          <w:sz w:val="2"/>
        </w:rPr>
      </w:pPr>
      <w:r>
        <w:rPr>
          <w:rFonts w:ascii="黑体"/>
          <w:sz w:val="2"/>
        </w:rPr>
        <w:pict>
          <v:group style="width:402.1pt;height:.85pt;mso-position-horizontal-relative:char;mso-position-vertical-relative:line" coordorigin="0,0" coordsize="8042,17">
            <v:line style="position:absolute" from="0,8" to="8041,8" stroked="true" strokeweight=".84pt" strokecolor="#000000">
              <v:stroke dashstyle="solid"/>
            </v:line>
          </v:group>
        </w:pict>
      </w:r>
      <w:r>
        <w:rPr>
          <w:rFonts w:ascii="黑体"/>
          <w:sz w:val="2"/>
        </w:rPr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spacing w:before="4"/>
        <w:rPr>
          <w:rFonts w:ascii="黑体"/>
          <w:b/>
          <w:sz w:val="23"/>
        </w:rPr>
      </w:pPr>
    </w:p>
    <w:p>
      <w:pPr>
        <w:pStyle w:val="BodyText"/>
        <w:tabs>
          <w:tab w:pos="2303" w:val="left" w:leader="none"/>
          <w:tab w:pos="4092" w:val="left" w:leader="none"/>
          <w:tab w:pos="6782" w:val="left" w:leader="none"/>
        </w:tabs>
        <w:spacing w:before="78"/>
        <w:ind w:left="520"/>
      </w:pPr>
      <w:r>
        <w:rPr>
          <w:rFonts w:ascii="Times New Roman" w:eastAsia="Times New Roman"/>
          <w:w w:val="100"/>
          <w:u w:val="single"/>
        </w:rPr>
        <w:t> </w:t>
      </w:r>
      <w:r>
        <w:rPr>
          <w:rFonts w:ascii="Times New Roman" w:eastAsia="Times New Roman"/>
          <w:u w:val="single"/>
        </w:rPr>
        <w:t> </w:t>
      </w:r>
      <w:r>
        <w:rPr>
          <w:u w:val="single"/>
        </w:rPr>
        <w:t>会 计</w:t>
      </w:r>
      <w:r>
        <w:rPr/>
        <w:t> 系</w:t>
      </w:r>
      <w:r>
        <w:rPr>
          <w:u w:val="single"/>
        </w:rPr>
        <w:t>  </w:t>
      </w:r>
      <w:r>
        <w:rPr>
          <w:spacing w:val="-3"/>
          <w:u w:val="single"/>
        </w:rPr>
        <w:t>会</w:t>
      </w:r>
      <w:r>
        <w:rPr>
          <w:u w:val="single"/>
        </w:rPr>
        <w:t>计</w:t>
        <w:tab/>
      </w:r>
      <w:r>
        <w:rPr/>
        <w:t>专 业</w:t>
      </w:r>
      <w:r>
        <w:rPr>
          <w:u w:val="single"/>
        </w:rPr>
        <w:t>   </w:t>
      </w:r>
      <w:r>
        <w:rPr>
          <w:rFonts w:ascii="Times New Roman" w:eastAsia="Times New Roman"/>
          <w:u w:val="single"/>
        </w:rPr>
        <w:t>18</w:t>
      </w:r>
      <w:r>
        <w:rPr>
          <w:rFonts w:ascii="Times New Roman" w:eastAsia="Times New Roman"/>
          <w:spacing w:val="51"/>
        </w:rPr>
        <w:t> </w:t>
      </w:r>
      <w:r>
        <w:rPr/>
        <w:t>年级</w:t>
        <w:tab/>
      </w:r>
      <w:r>
        <w:rPr>
          <w:spacing w:val="-3"/>
        </w:rPr>
        <w:t>国</w:t>
      </w:r>
      <w:r>
        <w:rPr/>
        <w:t>会</w:t>
      </w:r>
      <w:r>
        <w:rPr>
          <w:spacing w:val="-54"/>
        </w:rPr>
        <w:t> </w:t>
      </w:r>
      <w:r>
        <w:rPr>
          <w:rFonts w:ascii="Times New Roman" w:eastAsia="Times New Roman"/>
        </w:rPr>
        <w:t>ACCA</w:t>
      </w:r>
      <w:r>
        <w:rPr/>
        <w:t>（中外）</w:t>
      </w:r>
      <w:r>
        <w:rPr>
          <w:rFonts w:ascii="Times New Roman" w:eastAsia="Times New Roman"/>
        </w:rPr>
        <w:t>1/2</w:t>
      </w:r>
      <w:r>
        <w:rPr>
          <w:rFonts w:ascii="Times New Roman" w:eastAsia="Times New Roman"/>
          <w:u w:val="single"/>
        </w:rPr>
        <w:t> </w:t>
      </w:r>
      <w:r>
        <w:rPr>
          <w:rFonts w:ascii="Times New Roman" w:eastAsia="Times New Roman"/>
          <w:spacing w:val="1"/>
          <w:u w:val="single"/>
        </w:rPr>
        <w:t> </w:t>
      </w:r>
      <w:r>
        <w:rPr/>
        <w:t>班</w:t>
        <w:tab/>
      </w:r>
      <w:r>
        <w:rPr>
          <w:spacing w:val="-3"/>
        </w:rPr>
        <w:t>课</w:t>
      </w:r>
      <w:r>
        <w:rPr/>
        <w:t>程</w:t>
      </w:r>
      <w:r>
        <w:rPr>
          <w:spacing w:val="-3"/>
        </w:rPr>
        <w:t>名</w:t>
      </w:r>
      <w:r>
        <w:rPr/>
        <w:t>称</w:t>
      </w:r>
      <w:r>
        <w:rPr>
          <w:spacing w:val="12"/>
          <w:u w:val="single"/>
        </w:rPr>
        <w:t> </w:t>
      </w:r>
      <w:r>
        <w:rPr>
          <w:u w:val="single"/>
        </w:rPr>
        <w:t>财务</w:t>
      </w:r>
      <w:r>
        <w:rPr>
          <w:spacing w:val="-3"/>
          <w:u w:val="single"/>
        </w:rPr>
        <w:t>分</w:t>
      </w:r>
      <w:r>
        <w:rPr>
          <w:u w:val="single"/>
        </w:rPr>
        <w:t>析</w:t>
      </w:r>
      <w:r>
        <w:rPr>
          <w:spacing w:val="-3"/>
          <w:u w:val="single"/>
        </w:rPr>
        <w:t>与</w:t>
      </w:r>
      <w:r>
        <w:rPr>
          <w:u w:val="single"/>
        </w:rPr>
        <w:t>公</w:t>
      </w:r>
      <w:r>
        <w:rPr>
          <w:spacing w:val="-3"/>
          <w:u w:val="single"/>
        </w:rPr>
        <w:t>司</w:t>
      </w:r>
      <w:r>
        <w:rPr>
          <w:u w:val="single"/>
        </w:rPr>
        <w:t>估值</w:t>
      </w:r>
    </w:p>
    <w:p>
      <w:pPr>
        <w:pStyle w:val="BodyText"/>
        <w:spacing w:before="7"/>
      </w:pPr>
    </w:p>
    <w:p>
      <w:pPr>
        <w:pStyle w:val="BodyText"/>
        <w:tabs>
          <w:tab w:pos="5606" w:val="left" w:leader="none"/>
          <w:tab w:pos="8007" w:val="left" w:leader="none"/>
          <w:tab w:pos="9416" w:val="left" w:leader="none"/>
        </w:tabs>
        <w:spacing w:before="79"/>
        <w:ind w:left="520"/>
      </w:pPr>
      <w:r>
        <w:rPr/>
        <w:t>总课</w:t>
      </w:r>
      <w:r>
        <w:rPr>
          <w:spacing w:val="-3"/>
        </w:rPr>
        <w:t>时</w:t>
      </w:r>
      <w:r>
        <w:rPr>
          <w:spacing w:val="-3"/>
          <w:u w:val="single"/>
        </w:rPr>
        <w:t> </w:t>
      </w:r>
      <w:r>
        <w:rPr>
          <w:spacing w:val="7"/>
          <w:u w:val="single"/>
        </w:rPr>
        <w:t> </w:t>
      </w:r>
      <w:r>
        <w:rPr>
          <w:rFonts w:ascii="Times New Roman" w:eastAsia="Times New Roman"/>
          <w:u w:val="single"/>
        </w:rPr>
        <w:t>48   </w:t>
      </w:r>
      <w:r>
        <w:rPr>
          <w:rFonts w:ascii="Times New Roman" w:eastAsia="Times New Roman"/>
        </w:rPr>
        <w:t>  </w:t>
      </w:r>
      <w:r>
        <w:rPr>
          <w:rFonts w:ascii="Times New Roman" w:eastAsia="Times New Roman"/>
          <w:spacing w:val="2"/>
        </w:rPr>
        <w:t> </w:t>
      </w:r>
      <w:r>
        <w:rPr/>
        <w:t>本</w:t>
      </w:r>
      <w:r>
        <w:rPr>
          <w:spacing w:val="-3"/>
        </w:rPr>
        <w:t>学</w:t>
      </w:r>
      <w:r>
        <w:rPr/>
        <w:t>期</w:t>
      </w:r>
      <w:r>
        <w:rPr>
          <w:spacing w:val="-3"/>
        </w:rPr>
        <w:t>安排</w:t>
      </w:r>
      <w:r>
        <w:rPr/>
        <w:t>课时</w:t>
      </w:r>
      <w:r>
        <w:rPr>
          <w:spacing w:val="-3"/>
        </w:rPr>
        <w:t>数</w:t>
      </w:r>
      <w:r>
        <w:rPr>
          <w:spacing w:val="-3"/>
          <w:u w:val="single"/>
        </w:rPr>
        <w:t> </w:t>
      </w:r>
      <w:r>
        <w:rPr>
          <w:spacing w:val="8"/>
          <w:u w:val="single"/>
        </w:rPr>
        <w:t> </w:t>
      </w:r>
      <w:r>
        <w:rPr>
          <w:rFonts w:ascii="Times New Roman" w:eastAsia="Times New Roman"/>
          <w:u w:val="single"/>
        </w:rPr>
        <w:t>48 </w:t>
      </w:r>
      <w:r>
        <w:rPr>
          <w:rFonts w:ascii="Times New Roman" w:eastAsia="Times New Roman"/>
          <w:spacing w:val="47"/>
          <w:u w:val="single"/>
        </w:rPr>
        <w:t> </w:t>
      </w:r>
      <w:r>
        <w:rPr>
          <w:spacing w:val="-3"/>
        </w:rPr>
        <w:t>（</w:t>
      </w:r>
      <w:r>
        <w:rPr/>
        <w:t>其</w:t>
      </w:r>
      <w:r>
        <w:rPr>
          <w:spacing w:val="-3"/>
        </w:rPr>
        <w:t>中</w:t>
      </w:r>
      <w:r>
        <w:rPr/>
        <w:t>讲</w:t>
      </w:r>
      <w:r>
        <w:rPr>
          <w:spacing w:val="-3"/>
        </w:rPr>
        <w:t>课</w:t>
      </w:r>
      <w:r>
        <w:rPr>
          <w:spacing w:val="-3"/>
          <w:u w:val="single"/>
        </w:rPr>
        <w:t> </w:t>
        <w:tab/>
      </w:r>
      <w:r>
        <w:rPr>
          <w:spacing w:val="-3"/>
        </w:rPr>
        <w:t>课</w:t>
      </w:r>
      <w:r>
        <w:rPr/>
        <w:t>时</w:t>
      </w:r>
      <w:r>
        <w:rPr>
          <w:spacing w:val="-63"/>
        </w:rPr>
        <w:t>，</w:t>
      </w:r>
      <w:r>
        <w:rPr/>
        <w:t>课</w:t>
      </w:r>
      <w:r>
        <w:rPr>
          <w:spacing w:val="-3"/>
        </w:rPr>
        <w:t>堂</w:t>
      </w:r>
      <w:r>
        <w:rPr/>
        <w:t>练习</w:t>
      </w:r>
      <w:r>
        <w:rPr>
          <w:spacing w:val="-63"/>
        </w:rPr>
        <w:t>、</w:t>
      </w:r>
      <w:r>
        <w:rPr/>
        <w:t>讨</w:t>
      </w:r>
      <w:r>
        <w:rPr>
          <w:spacing w:val="-3"/>
        </w:rPr>
        <w:t>论</w:t>
      </w:r>
      <w:r>
        <w:rPr>
          <w:spacing w:val="-3"/>
          <w:u w:val="single"/>
        </w:rPr>
        <w:t> </w:t>
        <w:tab/>
      </w:r>
      <w:r>
        <w:rPr>
          <w:spacing w:val="-3"/>
        </w:rPr>
        <w:t>课</w:t>
      </w:r>
      <w:r>
        <w:rPr/>
        <w:t>时</w:t>
      </w:r>
      <w:r>
        <w:rPr>
          <w:spacing w:val="-63"/>
        </w:rPr>
        <w:t>，</w:t>
      </w:r>
      <w:r>
        <w:rPr/>
        <w:t>其他</w:t>
      </w:r>
      <w:r>
        <w:rPr>
          <w:u w:val="single"/>
        </w:rPr>
        <w:t> </w:t>
        <w:tab/>
      </w:r>
      <w:r>
        <w:rPr/>
        <w:t>课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72"/>
        <w:ind w:left="520"/>
      </w:pPr>
      <w:r>
        <w:rPr/>
        <w:t>时）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1782" w:val="left" w:leader="none"/>
          <w:tab w:pos="3672" w:val="left" w:leader="none"/>
          <w:tab w:pos="3880" w:val="left" w:leader="none"/>
          <w:tab w:pos="5140" w:val="left" w:leader="none"/>
          <w:tab w:pos="7632" w:val="left" w:leader="none"/>
        </w:tabs>
        <w:ind w:left="520"/>
      </w:pPr>
      <w:r>
        <w:rPr/>
        <w:t>讲课</w:t>
      </w:r>
      <w:r>
        <w:rPr>
          <w:spacing w:val="-3"/>
        </w:rPr>
        <w:t>教</w:t>
      </w:r>
      <w:r>
        <w:rPr/>
        <w:t>师</w:t>
      </w:r>
      <w:r>
        <w:rPr>
          <w:u w:val="single"/>
        </w:rPr>
        <w:t> </w:t>
        <w:tab/>
      </w:r>
      <w:r>
        <w:rPr>
          <w:spacing w:val="-3"/>
          <w:u w:val="single"/>
        </w:rPr>
        <w:t>王</w:t>
      </w:r>
      <w:r>
        <w:rPr>
          <w:u w:val="single"/>
        </w:rPr>
        <w:t>苏</w:t>
      </w:r>
      <w:r>
        <w:rPr>
          <w:spacing w:val="-3"/>
          <w:u w:val="single"/>
        </w:rPr>
        <w:t>明</w:t>
      </w:r>
      <w:r>
        <w:rPr>
          <w:u w:val="single"/>
        </w:rPr>
        <w:t>月</w:t>
        <w:tab/>
      </w:r>
      <w:r>
        <w:rPr/>
        <w:tab/>
        <w:t>辅</w:t>
      </w:r>
      <w:r>
        <w:rPr>
          <w:spacing w:val="-3"/>
        </w:rPr>
        <w:t>导</w:t>
      </w:r>
      <w:r>
        <w:rPr/>
        <w:t>教师</w:t>
      </w:r>
      <w:r>
        <w:rPr>
          <w:u w:val="single"/>
        </w:rPr>
        <w:t> </w:t>
        <w:tab/>
      </w:r>
      <w:r>
        <w:rPr>
          <w:spacing w:val="-3"/>
          <w:u w:val="single"/>
        </w:rPr>
        <w:t>王</w:t>
      </w:r>
      <w:r>
        <w:rPr>
          <w:u w:val="single"/>
        </w:rPr>
        <w:t>苏明月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456"/>
        <w:gridCol w:w="734"/>
        <w:gridCol w:w="2956"/>
        <w:gridCol w:w="685"/>
        <w:gridCol w:w="3054"/>
      </w:tblGrid>
      <w:tr>
        <w:trPr>
          <w:trHeight w:val="623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468" w:lineRule="auto"/>
              <w:ind w:left="348" w:right="436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周次</w:t>
            </w: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宋体"/>
                <w:sz w:val="15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78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月</w:t>
            </w:r>
            <w:r>
              <w:rPr>
                <w:sz w:val="21"/>
              </w:rPr>
              <w:t>/</w:t>
              <w:tab/>
            </w:r>
            <w:r>
              <w:rPr>
                <w:rFonts w:ascii="宋体" w:eastAsia="宋体" w:hint="eastAsia"/>
                <w:sz w:val="21"/>
              </w:rPr>
              <w:t>日～</w:t>
            </w:r>
          </w:p>
          <w:p>
            <w:pPr>
              <w:pStyle w:val="TableParagraph"/>
              <w:spacing w:before="9"/>
              <w:rPr>
                <w:rFonts w:ascii="宋体"/>
                <w:sz w:val="27"/>
              </w:rPr>
            </w:pPr>
          </w:p>
          <w:p>
            <w:pPr>
              <w:pStyle w:val="TableParagraph"/>
              <w:tabs>
                <w:tab w:pos="916" w:val="left" w:leader="none"/>
              </w:tabs>
              <w:ind w:left="331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月</w:t>
            </w:r>
            <w:r>
              <w:rPr>
                <w:sz w:val="21"/>
              </w:rPr>
              <w:t>/</w:t>
              <w:tab/>
            </w:r>
            <w:r>
              <w:rPr>
                <w:rFonts w:ascii="宋体" w:eastAsia="宋体" w:hint="eastAsia"/>
                <w:sz w:val="21"/>
              </w:rPr>
              <w:t>日</w:t>
            </w:r>
          </w:p>
        </w:tc>
        <w:tc>
          <w:tcPr>
            <w:tcW w:w="3690" w:type="dxa"/>
            <w:gridSpan w:val="2"/>
          </w:tcPr>
          <w:p>
            <w:pPr>
              <w:pStyle w:val="TableParagraph"/>
              <w:tabs>
                <w:tab w:pos="2845" w:val="left" w:leader="none"/>
              </w:tabs>
              <w:spacing w:before="178"/>
              <w:ind w:left="639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讲</w:t>
              <w:tab/>
              <w:t>课</w:t>
            </w:r>
          </w:p>
        </w:tc>
        <w:tc>
          <w:tcPr>
            <w:tcW w:w="3739" w:type="dxa"/>
            <w:gridSpan w:val="2"/>
          </w:tcPr>
          <w:p>
            <w:pPr>
              <w:pStyle w:val="TableParagraph"/>
              <w:spacing w:before="178"/>
              <w:ind w:left="612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课堂练习、讨论及课外作业</w:t>
            </w:r>
          </w:p>
        </w:tc>
      </w:tr>
      <w:tr>
        <w:trPr>
          <w:trHeight w:val="1221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59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时数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tabs>
                <w:tab w:pos="1953" w:val="left" w:leader="none"/>
              </w:tabs>
              <w:ind w:left="796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内</w:t>
              <w:tab/>
              <w:t>容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3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时数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tabs>
                <w:tab w:pos="2109" w:val="left" w:leader="none"/>
              </w:tabs>
              <w:ind w:left="743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内</w:t>
              <w:tab/>
              <w:t>容</w:t>
            </w:r>
          </w:p>
        </w:tc>
      </w:tr>
      <w:tr>
        <w:trPr>
          <w:trHeight w:val="1874" w:hRule="atLeast"/>
        </w:trPr>
        <w:tc>
          <w:tcPr>
            <w:tcW w:w="1008" w:type="dxa"/>
          </w:tcPr>
          <w:p>
            <w:pPr>
              <w:pStyle w:val="TableParagraph"/>
              <w:spacing w:before="195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309" w:lineRule="auto" w:before="39"/>
              <w:ind w:left="110" w:right="488"/>
              <w:rPr>
                <w:b/>
                <w:sz w:val="21"/>
              </w:rPr>
            </w:pPr>
            <w:r>
              <w:rPr>
                <w:b/>
                <w:sz w:val="21"/>
              </w:rPr>
              <w:t>Chapter 1 Introduction to Investing and Valuation</w:t>
            </w:r>
          </w:p>
          <w:p>
            <w:pPr>
              <w:pStyle w:val="TableParagraph"/>
              <w:spacing w:before="5"/>
              <w:rPr>
                <w:rFonts w:ascii="宋体"/>
                <w:sz w:val="24"/>
              </w:rPr>
            </w:pPr>
          </w:p>
          <w:p>
            <w:pPr>
              <w:pStyle w:val="TableParagraph"/>
              <w:spacing w:line="309" w:lineRule="auto" w:before="1"/>
              <w:ind w:left="110" w:right="488"/>
              <w:rPr>
                <w:b/>
                <w:sz w:val="21"/>
              </w:rPr>
            </w:pPr>
            <w:r>
              <w:rPr>
                <w:b/>
                <w:sz w:val="21"/>
              </w:rPr>
              <w:t>Chapter 2 Introduction to Financial Statements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before="39"/>
              <w:ind w:left="112"/>
              <w:rPr>
                <w:sz w:val="21"/>
              </w:rPr>
            </w:pPr>
            <w:r>
              <w:rPr>
                <w:sz w:val="21"/>
              </w:rPr>
              <w:t>E1.1; E1.2; E1.3; E1.5; E1.6;</w:t>
            </w:r>
          </w:p>
          <w:p>
            <w:pPr>
              <w:pStyle w:val="TableParagraph"/>
              <w:spacing w:line="309" w:lineRule="auto" w:before="70"/>
              <w:ind w:left="112" w:right="351"/>
              <w:rPr>
                <w:sz w:val="21"/>
              </w:rPr>
            </w:pPr>
            <w:r>
              <w:rPr>
                <w:sz w:val="21"/>
              </w:rPr>
              <w:t>E2.1; E2.2; E2.4; E2.6; E2.10; E2.11</w:t>
            </w:r>
          </w:p>
        </w:tc>
      </w:tr>
      <w:tr>
        <w:trPr>
          <w:trHeight w:val="2496" w:hRule="atLeast"/>
        </w:trPr>
        <w:tc>
          <w:tcPr>
            <w:tcW w:w="1008" w:type="dxa"/>
          </w:tcPr>
          <w:p>
            <w:pPr>
              <w:pStyle w:val="TableParagraph"/>
              <w:spacing w:before="19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309" w:lineRule="auto" w:before="36"/>
              <w:ind w:left="110" w:right="546"/>
              <w:rPr>
                <w:b/>
                <w:sz w:val="21"/>
              </w:rPr>
            </w:pPr>
            <w:r>
              <w:rPr>
                <w:b/>
                <w:sz w:val="21"/>
              </w:rPr>
              <w:t>Chapter 3 How Financial Statements are used in Valuation</w:t>
            </w:r>
          </w:p>
          <w:p>
            <w:pPr>
              <w:pStyle w:val="TableParagraph"/>
              <w:spacing w:before="6"/>
              <w:rPr>
                <w:rFonts w:ascii="宋体"/>
                <w:sz w:val="24"/>
              </w:rPr>
            </w:pPr>
          </w:p>
          <w:p>
            <w:pPr>
              <w:pStyle w:val="TableParagraph"/>
              <w:spacing w:line="309" w:lineRule="auto"/>
              <w:ind w:left="110" w:right="97"/>
              <w:rPr>
                <w:b/>
                <w:sz w:val="21"/>
              </w:rPr>
            </w:pPr>
            <w:r>
              <w:rPr>
                <w:b/>
                <w:sz w:val="21"/>
              </w:rPr>
              <w:t>Chapter 4 Cash Accounting, Accrual Accounting, and DCF valuation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line="309" w:lineRule="auto" w:before="36"/>
              <w:ind w:left="112" w:right="456"/>
              <w:rPr>
                <w:sz w:val="21"/>
              </w:rPr>
            </w:pPr>
            <w:r>
              <w:rPr>
                <w:sz w:val="21"/>
              </w:rPr>
              <w:t>E3.1; E3.2; E3.3; E3.5; E3.6; E3.7; E3.8;</w:t>
            </w:r>
          </w:p>
          <w:p>
            <w:pPr>
              <w:pStyle w:val="TableParagraph"/>
              <w:spacing w:line="309" w:lineRule="auto" w:before="1"/>
              <w:ind w:left="112" w:right="456"/>
              <w:rPr>
                <w:sz w:val="21"/>
              </w:rPr>
            </w:pPr>
            <w:r>
              <w:rPr>
                <w:sz w:val="21"/>
              </w:rPr>
              <w:t>E4.1; E4.2; E4.3; E4.4; E4.7; E4.8; E4.10; E4.12</w:t>
            </w:r>
          </w:p>
        </w:tc>
      </w:tr>
      <w:tr>
        <w:trPr>
          <w:trHeight w:val="1660" w:hRule="atLeast"/>
        </w:trPr>
        <w:tc>
          <w:tcPr>
            <w:tcW w:w="1008" w:type="dxa"/>
          </w:tcPr>
          <w:p>
            <w:pPr>
              <w:pStyle w:val="TableParagraph"/>
              <w:spacing w:before="19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309" w:lineRule="auto" w:before="36"/>
              <w:ind w:left="110" w:right="388"/>
              <w:rPr>
                <w:b/>
                <w:sz w:val="21"/>
              </w:rPr>
            </w:pPr>
            <w:r>
              <w:rPr>
                <w:b/>
                <w:sz w:val="21"/>
              </w:rPr>
              <w:t>Chapter 5 Accrual Accounting and Valuation: Pricing Book Value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line="309" w:lineRule="auto" w:before="36"/>
              <w:ind w:left="112" w:right="456"/>
              <w:rPr>
                <w:sz w:val="21"/>
              </w:rPr>
            </w:pPr>
            <w:r>
              <w:rPr>
                <w:sz w:val="21"/>
              </w:rPr>
              <w:t>E5.1; E5.2; E5.3; E5.4; E5.7; E5.10</w:t>
            </w:r>
          </w:p>
        </w:tc>
      </w:tr>
    </w:tbl>
    <w:p>
      <w:pPr>
        <w:spacing w:after="0" w:line="309" w:lineRule="auto"/>
        <w:rPr>
          <w:sz w:val="21"/>
        </w:rPr>
        <w:sectPr>
          <w:type w:val="continuous"/>
          <w:pgSz w:w="11910" w:h="16850"/>
          <w:pgMar w:top="1520" w:bottom="280" w:left="920" w:right="8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456"/>
        <w:gridCol w:w="734"/>
        <w:gridCol w:w="2956"/>
        <w:gridCol w:w="685"/>
        <w:gridCol w:w="3054"/>
      </w:tblGrid>
      <w:tr>
        <w:trPr>
          <w:trHeight w:val="623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468" w:lineRule="auto"/>
              <w:ind w:left="348" w:right="436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周次</w:t>
            </w: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宋体"/>
                <w:sz w:val="15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78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月</w:t>
            </w:r>
            <w:r>
              <w:rPr>
                <w:sz w:val="21"/>
              </w:rPr>
              <w:t>/</w:t>
              <w:tab/>
            </w:r>
            <w:r>
              <w:rPr>
                <w:rFonts w:ascii="宋体" w:eastAsia="宋体" w:hint="eastAsia"/>
                <w:sz w:val="21"/>
              </w:rPr>
              <w:t>日～</w:t>
            </w:r>
          </w:p>
          <w:p>
            <w:pPr>
              <w:pStyle w:val="TableParagraph"/>
              <w:spacing w:before="9"/>
              <w:rPr>
                <w:rFonts w:ascii="宋体"/>
                <w:sz w:val="27"/>
              </w:rPr>
            </w:pPr>
          </w:p>
          <w:p>
            <w:pPr>
              <w:pStyle w:val="TableParagraph"/>
              <w:tabs>
                <w:tab w:pos="916" w:val="left" w:leader="none"/>
              </w:tabs>
              <w:ind w:left="331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月</w:t>
            </w:r>
            <w:r>
              <w:rPr>
                <w:sz w:val="21"/>
              </w:rPr>
              <w:t>/</w:t>
              <w:tab/>
            </w:r>
            <w:r>
              <w:rPr>
                <w:rFonts w:ascii="宋体" w:eastAsia="宋体" w:hint="eastAsia"/>
                <w:sz w:val="21"/>
              </w:rPr>
              <w:t>日</w:t>
            </w:r>
          </w:p>
        </w:tc>
        <w:tc>
          <w:tcPr>
            <w:tcW w:w="3690" w:type="dxa"/>
            <w:gridSpan w:val="2"/>
          </w:tcPr>
          <w:p>
            <w:pPr>
              <w:pStyle w:val="TableParagraph"/>
              <w:tabs>
                <w:tab w:pos="2845" w:val="left" w:leader="none"/>
              </w:tabs>
              <w:spacing w:before="179"/>
              <w:ind w:left="639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讲</w:t>
              <w:tab/>
              <w:t>课</w:t>
            </w:r>
          </w:p>
        </w:tc>
        <w:tc>
          <w:tcPr>
            <w:tcW w:w="3739" w:type="dxa"/>
            <w:gridSpan w:val="2"/>
          </w:tcPr>
          <w:p>
            <w:pPr>
              <w:pStyle w:val="TableParagraph"/>
              <w:spacing w:before="179"/>
              <w:ind w:left="612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课堂练习、讨论及课外作业</w:t>
            </w:r>
          </w:p>
        </w:tc>
      </w:tr>
      <w:tr>
        <w:trPr>
          <w:trHeight w:val="1221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59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时数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tabs>
                <w:tab w:pos="1953" w:val="left" w:leader="none"/>
              </w:tabs>
              <w:ind w:left="796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内</w:t>
              <w:tab/>
              <w:t>容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3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时数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tabs>
                <w:tab w:pos="2109" w:val="left" w:leader="none"/>
              </w:tabs>
              <w:ind w:left="743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内</w:t>
              <w:tab/>
              <w:t>容</w:t>
            </w:r>
          </w:p>
        </w:tc>
      </w:tr>
      <w:tr>
        <w:trPr>
          <w:trHeight w:val="1094" w:hRule="atLeast"/>
        </w:trPr>
        <w:tc>
          <w:tcPr>
            <w:tcW w:w="1008" w:type="dxa"/>
            <w:tcBorders>
              <w:bottom w:val="nil"/>
            </w:tcBorders>
          </w:tcPr>
          <w:p>
            <w:pPr>
              <w:pStyle w:val="TableParagraph"/>
              <w:spacing w:before="195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>
            <w:pPr>
              <w:pStyle w:val="TableParagraph"/>
              <w:spacing w:line="309" w:lineRule="auto" w:before="39"/>
              <w:ind w:left="110" w:right="388"/>
              <w:rPr>
                <w:b/>
                <w:sz w:val="21"/>
              </w:rPr>
            </w:pPr>
            <w:r>
              <w:rPr>
                <w:b/>
                <w:sz w:val="21"/>
              </w:rPr>
              <w:t>Chapter 6 Accrual Accounting and Valuation: Pricing Earnings</w:t>
            </w:r>
          </w:p>
        </w:tc>
        <w:tc>
          <w:tcPr>
            <w:tcW w:w="68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>
            <w:pPr>
              <w:pStyle w:val="TableParagraph"/>
              <w:spacing w:line="309" w:lineRule="auto" w:before="39"/>
              <w:ind w:left="112" w:right="456"/>
              <w:rPr>
                <w:sz w:val="21"/>
              </w:rPr>
            </w:pPr>
            <w:r>
              <w:rPr>
                <w:sz w:val="21"/>
              </w:rPr>
              <w:t>E6.1; E6.3; E6.4; E6.7; E6.8; E6.9; E6.10</w:t>
            </w:r>
          </w:p>
          <w:p>
            <w:pPr>
              <w:pStyle w:val="TableParagraph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E7.1; E7.2; E7.3; E7.4</w:t>
            </w:r>
          </w:p>
        </w:tc>
      </w:tr>
      <w:tr>
        <w:trPr>
          <w:trHeight w:val="1081" w:hRule="atLeast"/>
        </w:trPr>
        <w:tc>
          <w:tcPr>
            <w:tcW w:w="10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ableParagraph"/>
              <w:spacing w:line="309" w:lineRule="auto" w:before="182"/>
              <w:ind w:left="110" w:right="581"/>
              <w:rPr>
                <w:b/>
                <w:sz w:val="21"/>
              </w:rPr>
            </w:pPr>
            <w:r>
              <w:rPr>
                <w:b/>
                <w:sz w:val="21"/>
              </w:rPr>
              <w:t>Chapter 7 Valuation and Active Investing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182"/>
              <w:ind w:left="112"/>
              <w:rPr>
                <w:sz w:val="21"/>
              </w:rPr>
            </w:pPr>
            <w:r>
              <w:rPr>
                <w:sz w:val="21"/>
              </w:rPr>
              <w:t>Individual Assignment#1</w:t>
            </w:r>
          </w:p>
        </w:tc>
      </w:tr>
      <w:tr>
        <w:trPr>
          <w:trHeight w:val="1092" w:hRule="atLeast"/>
        </w:trPr>
        <w:tc>
          <w:tcPr>
            <w:tcW w:w="1008" w:type="dxa"/>
            <w:tcBorders>
              <w:bottom w:val="nil"/>
            </w:tcBorders>
          </w:tcPr>
          <w:p>
            <w:pPr>
              <w:pStyle w:val="TableParagraph"/>
              <w:spacing w:before="19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>
            <w:pPr>
              <w:pStyle w:val="TableParagraph"/>
              <w:spacing w:line="309" w:lineRule="auto" w:before="36"/>
              <w:ind w:left="110" w:right="791"/>
              <w:rPr>
                <w:b/>
                <w:sz w:val="21"/>
              </w:rPr>
            </w:pPr>
            <w:r>
              <w:rPr>
                <w:b/>
                <w:sz w:val="21"/>
              </w:rPr>
              <w:t>Chapter 8 Viewing the Business through the Financial Statements</w:t>
            </w:r>
          </w:p>
        </w:tc>
        <w:tc>
          <w:tcPr>
            <w:tcW w:w="68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112"/>
              <w:rPr>
                <w:sz w:val="21"/>
              </w:rPr>
            </w:pPr>
            <w:r>
              <w:rPr>
                <w:sz w:val="21"/>
              </w:rPr>
              <w:t>E8.1; E8.4; E8.5; E8.6</w:t>
            </w:r>
          </w:p>
          <w:p>
            <w:pPr>
              <w:pStyle w:val="TableParagraph"/>
              <w:spacing w:line="309" w:lineRule="auto" w:before="71"/>
              <w:ind w:left="112" w:right="456"/>
              <w:rPr>
                <w:sz w:val="21"/>
              </w:rPr>
            </w:pPr>
            <w:r>
              <w:rPr>
                <w:sz w:val="21"/>
              </w:rPr>
              <w:t>E9.1; E9.2; E9.3; E9.5; E9.7; E9.12</w:t>
            </w:r>
          </w:p>
        </w:tc>
      </w:tr>
      <w:tr>
        <w:trPr>
          <w:trHeight w:val="1393" w:hRule="atLeast"/>
        </w:trPr>
        <w:tc>
          <w:tcPr>
            <w:tcW w:w="10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ableParagraph"/>
              <w:spacing w:line="309" w:lineRule="auto" w:before="182"/>
              <w:ind w:left="110" w:right="366"/>
              <w:rPr>
                <w:b/>
                <w:sz w:val="21"/>
              </w:rPr>
            </w:pPr>
            <w:r>
              <w:rPr>
                <w:b/>
                <w:sz w:val="21"/>
              </w:rPr>
              <w:t>Chapter 9 Analysis of Statement of Shareholders’ Equity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1008" w:type="dxa"/>
            <w:tcBorders>
              <w:bottom w:val="nil"/>
            </w:tcBorders>
          </w:tcPr>
          <w:p>
            <w:pPr>
              <w:pStyle w:val="TableParagraph"/>
              <w:spacing w:before="193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Chapter 10 Analysis of</w:t>
            </w:r>
          </w:p>
          <w:p>
            <w:pPr>
              <w:pStyle w:val="TableParagraph"/>
              <w:spacing w:before="7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Balance Sheet and Income</w:t>
            </w:r>
          </w:p>
        </w:tc>
        <w:tc>
          <w:tcPr>
            <w:tcW w:w="68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112"/>
              <w:rPr>
                <w:sz w:val="21"/>
              </w:rPr>
            </w:pPr>
            <w:r>
              <w:rPr>
                <w:sz w:val="21"/>
              </w:rPr>
              <w:t>E10.1; E10.5; E10.6; E10.8;</w:t>
            </w:r>
          </w:p>
          <w:p>
            <w:pPr>
              <w:pStyle w:val="TableParagraph"/>
              <w:spacing w:before="71"/>
              <w:ind w:left="112"/>
              <w:rPr>
                <w:sz w:val="21"/>
              </w:rPr>
            </w:pPr>
            <w:r>
              <w:rPr>
                <w:sz w:val="21"/>
              </w:rPr>
              <w:t>E10.9</w:t>
            </w:r>
          </w:p>
        </w:tc>
      </w:tr>
      <w:tr>
        <w:trPr>
          <w:trHeight w:val="301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Statement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2"/>
              <w:rPr>
                <w:sz w:val="21"/>
              </w:rPr>
            </w:pPr>
            <w:r>
              <w:rPr>
                <w:sz w:val="21"/>
              </w:rPr>
              <w:t>E11.1; E11.2; E11.3; E11.7;</w:t>
            </w:r>
          </w:p>
        </w:tc>
      </w:tr>
      <w:tr>
        <w:trPr>
          <w:trHeight w:val="301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2"/>
              <w:rPr>
                <w:sz w:val="21"/>
              </w:rPr>
            </w:pPr>
            <w:r>
              <w:rPr>
                <w:sz w:val="21"/>
              </w:rPr>
              <w:t>E11.8; E11.11</w:t>
            </w:r>
          </w:p>
        </w:tc>
      </w:tr>
      <w:tr>
        <w:trPr>
          <w:trHeight w:val="302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Chapter 11 Analysis of Cash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3" w:hRule="atLeast"/>
        </w:trPr>
        <w:tc>
          <w:tcPr>
            <w:tcW w:w="10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Flow Statement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1008" w:type="dxa"/>
            <w:tcBorders>
              <w:bottom w:val="nil"/>
            </w:tcBorders>
          </w:tcPr>
          <w:p>
            <w:pPr>
              <w:pStyle w:val="TableParagraph"/>
              <w:spacing w:before="19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Chapter 12 The Analysis of</w:t>
            </w:r>
          </w:p>
          <w:p>
            <w:pPr>
              <w:pStyle w:val="TableParagraph"/>
              <w:spacing w:before="7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Profitability</w:t>
            </w:r>
          </w:p>
        </w:tc>
        <w:tc>
          <w:tcPr>
            <w:tcW w:w="68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112"/>
              <w:rPr>
                <w:sz w:val="21"/>
              </w:rPr>
            </w:pPr>
            <w:r>
              <w:rPr>
                <w:sz w:val="21"/>
              </w:rPr>
              <w:t>E12.1; E12.2; E12.3; E12.6</w:t>
            </w:r>
          </w:p>
          <w:p>
            <w:pPr>
              <w:pStyle w:val="TableParagraph"/>
              <w:spacing w:before="71"/>
              <w:ind w:left="112"/>
              <w:rPr>
                <w:sz w:val="21"/>
              </w:rPr>
            </w:pPr>
            <w:r>
              <w:rPr>
                <w:sz w:val="21"/>
              </w:rPr>
              <w:t>E13.3; E13.4; E13.5;</w:t>
            </w:r>
          </w:p>
        </w:tc>
      </w:tr>
      <w:tr>
        <w:trPr>
          <w:trHeight w:val="302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2"/>
              <w:rPr>
                <w:sz w:val="21"/>
              </w:rPr>
            </w:pPr>
            <w:r>
              <w:rPr>
                <w:sz w:val="21"/>
              </w:rPr>
              <w:t>E13.6; E13.7</w:t>
            </w:r>
          </w:p>
        </w:tc>
      </w:tr>
      <w:tr>
        <w:trPr>
          <w:trHeight w:val="302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Chapter 13 The Analysis of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Growth and Sustainable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3" w:hRule="atLeast"/>
        </w:trPr>
        <w:tc>
          <w:tcPr>
            <w:tcW w:w="10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Earnings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1008" w:type="dxa"/>
            <w:tcBorders>
              <w:bottom w:val="nil"/>
            </w:tcBorders>
          </w:tcPr>
          <w:p>
            <w:pPr>
              <w:pStyle w:val="TableParagraph"/>
              <w:spacing w:before="19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Chapter 14 The Value of</w:t>
            </w:r>
          </w:p>
          <w:p>
            <w:pPr>
              <w:pStyle w:val="TableParagraph"/>
              <w:spacing w:before="7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Operations and the</w:t>
            </w:r>
          </w:p>
        </w:tc>
        <w:tc>
          <w:tcPr>
            <w:tcW w:w="68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112"/>
              <w:rPr>
                <w:sz w:val="21"/>
              </w:rPr>
            </w:pPr>
            <w:r>
              <w:rPr>
                <w:sz w:val="21"/>
              </w:rPr>
              <w:t>E14.1;E14.2;E14.3;E14.4; E14.5;</w:t>
            </w:r>
          </w:p>
          <w:p>
            <w:pPr>
              <w:pStyle w:val="TableParagraph"/>
              <w:spacing w:before="71"/>
              <w:ind w:left="112"/>
              <w:rPr>
                <w:sz w:val="21"/>
              </w:rPr>
            </w:pPr>
            <w:r>
              <w:rPr>
                <w:sz w:val="21"/>
              </w:rPr>
              <w:t>E14.6; E14.7; E14.8; E14.11</w:t>
            </w:r>
          </w:p>
        </w:tc>
      </w:tr>
      <w:tr>
        <w:trPr>
          <w:trHeight w:val="301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Evaluation of Enterprise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2"/>
              <w:rPr>
                <w:sz w:val="21"/>
              </w:rPr>
            </w:pPr>
            <w:r>
              <w:rPr>
                <w:sz w:val="21"/>
              </w:rPr>
              <w:t>E15.1; E15.2; E15.6; E15.7</w:t>
            </w:r>
          </w:p>
        </w:tc>
      </w:tr>
      <w:tr>
        <w:trPr>
          <w:trHeight w:val="301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Price-to-Book Ratios and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Price-Earnings Ratios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2"/>
              <w:rPr>
                <w:sz w:val="21"/>
              </w:rPr>
            </w:pPr>
            <w:r>
              <w:rPr>
                <w:sz w:val="21"/>
              </w:rPr>
              <w:t>Individual Assignment#2</w:t>
            </w:r>
          </w:p>
        </w:tc>
      </w:tr>
      <w:tr>
        <w:trPr>
          <w:trHeight w:val="457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Chapter 15 Anchoring on the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Financial Statements: Simple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0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Forecasting and Simple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50"/>
          <w:pgMar w:top="1440" w:bottom="280" w:left="920" w:right="8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456"/>
        <w:gridCol w:w="734"/>
        <w:gridCol w:w="2956"/>
        <w:gridCol w:w="685"/>
        <w:gridCol w:w="3054"/>
      </w:tblGrid>
      <w:tr>
        <w:trPr>
          <w:trHeight w:val="623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468" w:lineRule="auto"/>
              <w:ind w:left="348" w:right="436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周次</w:t>
            </w: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宋体"/>
                <w:sz w:val="15"/>
              </w:rPr>
            </w:pPr>
          </w:p>
          <w:p>
            <w:pPr>
              <w:pStyle w:val="TableParagraph"/>
              <w:tabs>
                <w:tab w:pos="861" w:val="left" w:leader="none"/>
              </w:tabs>
              <w:ind w:left="278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月</w:t>
            </w:r>
            <w:r>
              <w:rPr>
                <w:sz w:val="21"/>
              </w:rPr>
              <w:t>/</w:t>
              <w:tab/>
            </w:r>
            <w:r>
              <w:rPr>
                <w:rFonts w:ascii="宋体" w:eastAsia="宋体" w:hint="eastAsia"/>
                <w:sz w:val="21"/>
              </w:rPr>
              <w:t>日～</w:t>
            </w:r>
          </w:p>
          <w:p>
            <w:pPr>
              <w:pStyle w:val="TableParagraph"/>
              <w:spacing w:before="9"/>
              <w:rPr>
                <w:rFonts w:ascii="宋体"/>
                <w:sz w:val="27"/>
              </w:rPr>
            </w:pPr>
          </w:p>
          <w:p>
            <w:pPr>
              <w:pStyle w:val="TableParagraph"/>
              <w:tabs>
                <w:tab w:pos="916" w:val="left" w:leader="none"/>
              </w:tabs>
              <w:ind w:left="331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月</w:t>
            </w:r>
            <w:r>
              <w:rPr>
                <w:sz w:val="21"/>
              </w:rPr>
              <w:t>/</w:t>
              <w:tab/>
            </w:r>
            <w:r>
              <w:rPr>
                <w:rFonts w:ascii="宋体" w:eastAsia="宋体" w:hint="eastAsia"/>
                <w:sz w:val="21"/>
              </w:rPr>
              <w:t>日</w:t>
            </w:r>
          </w:p>
        </w:tc>
        <w:tc>
          <w:tcPr>
            <w:tcW w:w="3690" w:type="dxa"/>
            <w:gridSpan w:val="2"/>
          </w:tcPr>
          <w:p>
            <w:pPr>
              <w:pStyle w:val="TableParagraph"/>
              <w:tabs>
                <w:tab w:pos="2845" w:val="left" w:leader="none"/>
              </w:tabs>
              <w:spacing w:before="179"/>
              <w:ind w:left="639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讲</w:t>
              <w:tab/>
              <w:t>课</w:t>
            </w:r>
          </w:p>
        </w:tc>
        <w:tc>
          <w:tcPr>
            <w:tcW w:w="3739" w:type="dxa"/>
            <w:gridSpan w:val="2"/>
          </w:tcPr>
          <w:p>
            <w:pPr>
              <w:pStyle w:val="TableParagraph"/>
              <w:spacing w:before="179"/>
              <w:ind w:left="612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课堂练习、讨论及课外作业</w:t>
            </w:r>
          </w:p>
        </w:tc>
      </w:tr>
      <w:tr>
        <w:trPr>
          <w:trHeight w:val="1221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59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时数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tabs>
                <w:tab w:pos="1953" w:val="left" w:leader="none"/>
              </w:tabs>
              <w:ind w:left="796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内</w:t>
              <w:tab/>
              <w:t>容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3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时数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tabs>
                <w:tab w:pos="2109" w:val="left" w:leader="none"/>
              </w:tabs>
              <w:ind w:left="743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内</w:t>
              <w:tab/>
              <w:t>容</w:t>
            </w:r>
          </w:p>
        </w:tc>
      </w:tr>
      <w:tr>
        <w:trPr>
          <w:trHeight w:val="625" w:hRule="atLeast"/>
        </w:trPr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before="39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Valuation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48" w:hRule="atLeast"/>
        </w:trPr>
        <w:tc>
          <w:tcPr>
            <w:tcW w:w="1008" w:type="dxa"/>
          </w:tcPr>
          <w:p>
            <w:pPr>
              <w:pStyle w:val="TableParagraph"/>
              <w:spacing w:before="19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309" w:lineRule="auto" w:before="36"/>
              <w:ind w:left="110" w:right="243"/>
              <w:rPr>
                <w:b/>
                <w:sz w:val="21"/>
              </w:rPr>
            </w:pPr>
            <w:r>
              <w:rPr>
                <w:b/>
                <w:sz w:val="21"/>
              </w:rPr>
              <w:t>Chapter 16 Full Information Forecasting, Valuation and Business Strategy Analysis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line="309" w:lineRule="auto" w:before="36"/>
              <w:ind w:left="112" w:right="433"/>
              <w:rPr>
                <w:sz w:val="21"/>
              </w:rPr>
            </w:pPr>
            <w:r>
              <w:rPr>
                <w:sz w:val="21"/>
              </w:rPr>
              <w:t>E16.1; E16.2; E16.3; E16.10; E16.11; E16.12</w:t>
            </w:r>
          </w:p>
        </w:tc>
      </w:tr>
      <w:tr>
        <w:trPr>
          <w:trHeight w:val="2495" w:hRule="atLeast"/>
        </w:trPr>
        <w:tc>
          <w:tcPr>
            <w:tcW w:w="1008" w:type="dxa"/>
          </w:tcPr>
          <w:p>
            <w:pPr>
              <w:pStyle w:val="TableParagraph"/>
              <w:spacing w:before="192"/>
              <w:ind w:left="107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309" w:lineRule="auto" w:before="36"/>
              <w:ind w:left="110" w:right="820"/>
              <w:rPr>
                <w:b/>
                <w:sz w:val="21"/>
              </w:rPr>
            </w:pPr>
            <w:r>
              <w:rPr>
                <w:b/>
                <w:sz w:val="21"/>
              </w:rPr>
              <w:t>Chapter 17 Creating Accounting Value and Economic Value</w:t>
            </w:r>
          </w:p>
          <w:p>
            <w:pPr>
              <w:pStyle w:val="TableParagraph"/>
              <w:spacing w:before="6"/>
              <w:rPr>
                <w:rFonts w:ascii="宋体"/>
                <w:sz w:val="24"/>
              </w:rPr>
            </w:pPr>
          </w:p>
          <w:p>
            <w:pPr>
              <w:pStyle w:val="TableParagraph"/>
              <w:spacing w:line="309" w:lineRule="auto"/>
              <w:ind w:left="110" w:right="768"/>
              <w:rPr>
                <w:b/>
                <w:sz w:val="21"/>
              </w:rPr>
            </w:pPr>
            <w:r>
              <w:rPr>
                <w:b/>
                <w:sz w:val="21"/>
              </w:rPr>
              <w:t>Chapter 18 Analysis of Quality of Financial Statements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line="309" w:lineRule="auto" w:before="36"/>
              <w:ind w:left="112" w:right="351"/>
              <w:rPr>
                <w:sz w:val="21"/>
              </w:rPr>
            </w:pPr>
            <w:r>
              <w:rPr>
                <w:sz w:val="21"/>
              </w:rPr>
              <w:t>E17.1; E17.2; E17.4; </w:t>
            </w:r>
            <w:r>
              <w:rPr>
                <w:spacing w:val="-4"/>
                <w:sz w:val="21"/>
              </w:rPr>
              <w:t>E17.7; </w:t>
            </w:r>
            <w:r>
              <w:rPr>
                <w:sz w:val="21"/>
              </w:rPr>
              <w:t>E17.8</w:t>
            </w:r>
          </w:p>
          <w:p>
            <w:pPr>
              <w:pStyle w:val="TableParagraph"/>
              <w:spacing w:line="309" w:lineRule="auto" w:before="1"/>
              <w:ind w:left="112" w:right="351"/>
              <w:rPr>
                <w:sz w:val="21"/>
              </w:rPr>
            </w:pPr>
            <w:r>
              <w:rPr>
                <w:sz w:val="21"/>
              </w:rPr>
              <w:t>E18.1; E18.9; E18.2; </w:t>
            </w:r>
            <w:r>
              <w:rPr>
                <w:spacing w:val="-4"/>
                <w:sz w:val="21"/>
              </w:rPr>
              <w:t>E18.5; </w:t>
            </w:r>
            <w:r>
              <w:rPr>
                <w:sz w:val="21"/>
              </w:rPr>
              <w:t>E18.8</w:t>
            </w:r>
          </w:p>
        </w:tc>
      </w:tr>
      <w:tr>
        <w:trPr>
          <w:trHeight w:val="1660" w:hRule="atLeast"/>
        </w:trPr>
        <w:tc>
          <w:tcPr>
            <w:tcW w:w="1008" w:type="dxa"/>
          </w:tcPr>
          <w:p>
            <w:pPr>
              <w:pStyle w:val="TableParagraph"/>
              <w:spacing w:before="192"/>
              <w:ind w:left="107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309" w:lineRule="auto" w:before="36"/>
              <w:ind w:left="110" w:right="307"/>
              <w:rPr>
                <w:b/>
                <w:sz w:val="21"/>
              </w:rPr>
            </w:pPr>
            <w:r>
              <w:rPr>
                <w:b/>
                <w:sz w:val="21"/>
              </w:rPr>
              <w:t>Chapter 19 Analysis of Risk and Return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spacing w:line="309" w:lineRule="auto" w:before="36"/>
              <w:ind w:left="112" w:right="490"/>
              <w:rPr>
                <w:sz w:val="21"/>
              </w:rPr>
            </w:pPr>
            <w:r>
              <w:rPr>
                <w:sz w:val="21"/>
              </w:rPr>
              <w:t>C19.1; C19.2; C19.3; C19.5; C19.8</w:t>
            </w:r>
          </w:p>
          <w:p>
            <w:pPr>
              <w:pStyle w:val="TableParagraph"/>
              <w:spacing w:before="6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Presentation of Group Project</w:t>
            </w:r>
          </w:p>
        </w:tc>
      </w:tr>
      <w:tr>
        <w:trPr>
          <w:trHeight w:val="2906" w:hRule="atLeast"/>
        </w:trPr>
        <w:tc>
          <w:tcPr>
            <w:tcW w:w="3198" w:type="dxa"/>
            <w:gridSpan w:val="3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549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指定教材和教学参考书</w:t>
            </w:r>
          </w:p>
        </w:tc>
        <w:tc>
          <w:tcPr>
            <w:tcW w:w="6695" w:type="dxa"/>
            <w:gridSpan w:val="3"/>
          </w:tcPr>
          <w:p>
            <w:pPr>
              <w:pStyle w:val="TableParagraph"/>
              <w:spacing w:line="271" w:lineRule="auto" w:before="111"/>
              <w:ind w:left="220" w:right="179" w:firstLine="420"/>
              <w:jc w:val="both"/>
              <w:rPr>
                <w:sz w:val="22"/>
              </w:rPr>
            </w:pPr>
            <w:r>
              <w:rPr>
                <w:rFonts w:ascii="宋体" w:eastAsia="宋体" w:hint="eastAsia"/>
                <w:sz w:val="22"/>
              </w:rPr>
              <w:t>指定教材： </w:t>
            </w:r>
            <w:r>
              <w:rPr>
                <w:sz w:val="22"/>
              </w:rPr>
              <w:t>Stephen H. Penman, </w:t>
            </w:r>
            <w:r>
              <w:rPr>
                <w:rFonts w:ascii="宋体" w:eastAsia="宋体" w:hint="eastAsia"/>
                <w:sz w:val="22"/>
              </w:rPr>
              <w:t>《</w:t>
            </w:r>
            <w:r>
              <w:rPr>
                <w:sz w:val="22"/>
              </w:rPr>
              <w:t>Financial Statement Analysis and Security Valuation </w:t>
            </w:r>
            <w:r>
              <w:rPr>
                <w:rFonts w:ascii="宋体" w:eastAsia="宋体" w:hint="eastAsia"/>
                <w:sz w:val="22"/>
              </w:rPr>
              <w:t>》 </w:t>
            </w:r>
            <w:r>
              <w:rPr>
                <w:sz w:val="22"/>
              </w:rPr>
              <w:t>, 5th edition, China Machine Press, 2016 (ISBN 978-7-111-52486-1)</w:t>
            </w:r>
          </w:p>
          <w:p>
            <w:pPr>
              <w:pStyle w:val="TableParagraph"/>
              <w:spacing w:before="12"/>
              <w:rPr>
                <w:rFonts w:ascii="宋体"/>
                <w:sz w:val="25"/>
              </w:rPr>
            </w:pPr>
          </w:p>
          <w:p>
            <w:pPr>
              <w:pStyle w:val="TableParagraph"/>
              <w:spacing w:line="278" w:lineRule="auto"/>
              <w:ind w:left="1595" w:right="58" w:hanging="1052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pacing w:val="-13"/>
                <w:sz w:val="21"/>
              </w:rPr>
              <w:t>参考书目：《财务报表分析</w:t>
            </w:r>
            <w:r>
              <w:rPr>
                <w:sz w:val="21"/>
              </w:rPr>
              <w:t>:</w:t>
            </w:r>
            <w:r>
              <w:rPr>
                <w:rFonts w:ascii="宋体" w:eastAsia="宋体" w:hint="eastAsia"/>
                <w:spacing w:val="-1"/>
                <w:sz w:val="21"/>
              </w:rPr>
              <w:t>技巧、策略</w:t>
            </w:r>
            <w:r>
              <w:rPr>
                <w:spacing w:val="-4"/>
                <w:sz w:val="21"/>
              </w:rPr>
              <w:t>(</w:t>
            </w:r>
            <w:r>
              <w:rPr>
                <w:rFonts w:ascii="宋体" w:eastAsia="宋体" w:hint="eastAsia"/>
                <w:spacing w:val="-22"/>
                <w:sz w:val="21"/>
              </w:rPr>
              <w:t>第 </w:t>
            </w:r>
            <w:r>
              <w:rPr>
                <w:sz w:val="21"/>
              </w:rPr>
              <w:t>3 </w:t>
            </w:r>
            <w:r>
              <w:rPr>
                <w:rFonts w:ascii="宋体" w:eastAsia="宋体" w:hint="eastAsia"/>
                <w:sz w:val="21"/>
              </w:rPr>
              <w:t>版</w:t>
            </w:r>
            <w:r>
              <w:rPr>
                <w:spacing w:val="-4"/>
                <w:sz w:val="21"/>
              </w:rPr>
              <w:t>)</w:t>
            </w:r>
            <w:r>
              <w:rPr>
                <w:rFonts w:ascii="宋体" w:eastAsia="宋体" w:hint="eastAsia"/>
                <w:spacing w:val="-20"/>
                <w:sz w:val="21"/>
              </w:rPr>
              <w:t>》，戴欣苗，</w:t>
            </w:r>
            <w:r>
              <w:rPr>
                <w:sz w:val="21"/>
              </w:rPr>
              <w:t>2017</w:t>
            </w:r>
            <w:r>
              <w:rPr>
                <w:rFonts w:ascii="宋体" w:eastAsia="宋体" w:hint="eastAsia"/>
                <w:sz w:val="21"/>
              </w:rPr>
              <w:t>， </w:t>
            </w:r>
            <w:r>
              <w:rPr>
                <w:rFonts w:ascii="宋体" w:eastAsia="宋体" w:hint="eastAsia"/>
                <w:spacing w:val="-2"/>
                <w:sz w:val="21"/>
              </w:rPr>
              <w:t>清华大学出版社</w:t>
            </w:r>
          </w:p>
          <w:p>
            <w:pPr>
              <w:pStyle w:val="TableParagraph"/>
              <w:spacing w:line="269" w:lineRule="exact"/>
              <w:ind w:left="1595"/>
              <w:rPr>
                <w:rFonts w:ascii="宋体" w:hAnsi="宋体" w:eastAsia="宋体" w:hint="eastAsia"/>
                <w:sz w:val="21"/>
              </w:rPr>
            </w:pPr>
            <w:hyperlink r:id="rId5">
              <w:r>
                <w:rPr>
                  <w:rFonts w:ascii="宋体" w:hAnsi="宋体" w:eastAsia="宋体" w:hint="eastAsia"/>
                  <w:spacing w:val="31"/>
                  <w:sz w:val="21"/>
                </w:rPr>
                <w:t>《经营分析与估值</w:t>
              </w:r>
              <w:r>
                <w:rPr>
                  <w:spacing w:val="-10"/>
                  <w:sz w:val="21"/>
                </w:rPr>
                <w:t>( </w:t>
              </w:r>
              <w:r>
                <w:rPr>
                  <w:rFonts w:ascii="宋体" w:hAnsi="宋体" w:eastAsia="宋体" w:hint="eastAsia"/>
                  <w:spacing w:val="32"/>
                  <w:sz w:val="21"/>
                </w:rPr>
                <w:t>第五版</w:t>
              </w:r>
              <w:r>
                <w:rPr>
                  <w:spacing w:val="-10"/>
                  <w:sz w:val="21"/>
                </w:rPr>
                <w:t>) </w:t>
              </w:r>
              <w:r>
                <w:rPr>
                  <w:rFonts w:ascii="宋体" w:hAnsi="宋体" w:eastAsia="宋体" w:hint="eastAsia"/>
                  <w:spacing w:val="-22"/>
                  <w:sz w:val="21"/>
                </w:rPr>
                <w:t>》， 克雷沙 </w:t>
              </w:r>
              <w:r>
                <w:rPr>
                  <w:spacing w:val="-19"/>
                  <w:sz w:val="21"/>
                </w:rPr>
                <w:t>·G</w:t>
              </w:r>
              <w:r>
                <w:rPr>
                  <w:spacing w:val="-12"/>
                  <w:sz w:val="21"/>
                </w:rPr>
                <w:t>.  </w:t>
              </w:r>
              <w:r>
                <w:rPr>
                  <w:rFonts w:ascii="宋体" w:hAnsi="宋体" w:eastAsia="宋体" w:hint="eastAsia"/>
                  <w:spacing w:val="31"/>
                  <w:sz w:val="21"/>
                </w:rPr>
                <w:t>帕利普</w:t>
              </w:r>
            </w:hyperlink>
          </w:p>
          <w:p>
            <w:pPr>
              <w:pStyle w:val="TableParagraph"/>
              <w:spacing w:before="44"/>
              <w:ind w:left="1595"/>
              <w:rPr>
                <w:rFonts w:ascii="宋体" w:hAnsi="宋体" w:eastAsia="宋体" w:hint="eastAsia"/>
                <w:sz w:val="21"/>
              </w:rPr>
            </w:pPr>
            <w:hyperlink r:id="rId5">
              <w:r>
                <w:rPr>
                  <w:sz w:val="21"/>
                </w:rPr>
                <w:t>(Krishna</w:t>
              </w:r>
              <w:r>
                <w:rPr>
                  <w:spacing w:val="4"/>
                  <w:sz w:val="21"/>
                </w:rPr>
                <w:t>  </w:t>
              </w:r>
              <w:r>
                <w:rPr>
                  <w:sz w:val="21"/>
                </w:rPr>
                <w:t>G.Palepu)</w:t>
              </w:r>
              <w:r>
                <w:rPr>
                  <w:rFonts w:ascii="宋体" w:hAnsi="宋体" w:eastAsia="宋体" w:hint="eastAsia"/>
                  <w:spacing w:val="-4"/>
                  <w:sz w:val="21"/>
                </w:rPr>
                <w:t>、 保罗</w:t>
              </w:r>
              <w:r>
                <w:rPr>
                  <w:spacing w:val="-18"/>
                  <w:sz w:val="21"/>
                </w:rPr>
                <w:t>·M.</w:t>
              </w:r>
              <w:r>
                <w:rPr>
                  <w:spacing w:val="5"/>
                  <w:sz w:val="21"/>
                </w:rPr>
                <w:t> </w:t>
              </w:r>
              <w:r>
                <w:rPr>
                  <w:rFonts w:ascii="宋体" w:hAnsi="宋体" w:eastAsia="宋体" w:hint="eastAsia"/>
                  <w:spacing w:val="10"/>
                  <w:sz w:val="21"/>
                </w:rPr>
                <w:t>希利 </w:t>
              </w:r>
              <w:r>
                <w:rPr>
                  <w:sz w:val="21"/>
                </w:rPr>
                <w:t>(Paul</w:t>
              </w:r>
              <w:r>
                <w:rPr>
                  <w:spacing w:val="5"/>
                  <w:sz w:val="21"/>
                </w:rPr>
                <w:t>  </w:t>
              </w:r>
              <w:r>
                <w:rPr>
                  <w:sz w:val="21"/>
                </w:rPr>
                <w:t>M.Healy)</w:t>
              </w:r>
              <w:r>
                <w:rPr>
                  <w:spacing w:val="5"/>
                  <w:sz w:val="21"/>
                </w:rPr>
                <w:t>  </w:t>
              </w:r>
              <w:r>
                <w:rPr>
                  <w:rFonts w:ascii="宋体" w:hAnsi="宋体" w:eastAsia="宋体" w:hint="eastAsia"/>
                  <w:sz w:val="21"/>
                </w:rPr>
                <w:t>，</w:t>
              </w:r>
            </w:hyperlink>
          </w:p>
          <w:p>
            <w:pPr>
              <w:pStyle w:val="TableParagraph"/>
              <w:spacing w:before="43"/>
              <w:ind w:left="1595"/>
              <w:rPr>
                <w:rFonts w:ascii="宋体" w:eastAsia="宋体" w:hint="eastAsia"/>
                <w:sz w:val="21"/>
              </w:rPr>
            </w:pPr>
            <w:hyperlink r:id="rId5">
              <w:r>
                <w:rPr>
                  <w:sz w:val="21"/>
                </w:rPr>
                <w:t>2014</w:t>
              </w:r>
              <w:r>
                <w:rPr>
                  <w:rFonts w:ascii="宋体" w:eastAsia="宋体" w:hint="eastAsia"/>
                  <w:sz w:val="21"/>
                </w:rPr>
                <w:t>，东北财经大学出版社</w:t>
              </w:r>
            </w:hyperlink>
          </w:p>
        </w:tc>
      </w:tr>
    </w:tbl>
    <w:p>
      <w:pPr>
        <w:pStyle w:val="BodyText"/>
        <w:spacing w:before="6"/>
        <w:rPr>
          <w:sz w:val="9"/>
        </w:rPr>
      </w:pPr>
    </w:p>
    <w:p>
      <w:pPr>
        <w:tabs>
          <w:tab w:pos="8081" w:val="left" w:leader="none"/>
          <w:tab w:pos="9626" w:val="left" w:leader="none"/>
        </w:tabs>
        <w:spacing w:before="74"/>
        <w:ind w:left="520" w:right="0" w:firstLine="0"/>
        <w:jc w:val="left"/>
        <w:rPr>
          <w:sz w:val="18"/>
        </w:rPr>
      </w:pPr>
      <w:r>
        <w:rPr>
          <w:rFonts w:ascii="宋体" w:eastAsia="宋体" w:hint="eastAsia"/>
          <w:sz w:val="18"/>
        </w:rPr>
        <w:t>注：本表一式四份，一份送教研室，一份送讲课班级，一份送教务处，一份讲课教师自留。</w:t>
        <w:tab/>
        <w:t>教研室主任</w:t>
      </w:r>
      <w:r>
        <w:rPr>
          <w:sz w:val="18"/>
          <w:u w:val="single"/>
        </w:rPr>
        <w:t> </w:t>
        <w:tab/>
      </w:r>
    </w:p>
    <w:sectPr>
      <w:pgSz w:w="11910" w:h="16850"/>
      <w:pgMar w:top="1440" w:bottom="280" w:left="9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mazon.cn/%E5%9B%BE%E4%B9%A6/dp/B00KSNWDEA/ref%3Dsr_1_1?s=books&amp;amp;ie=UTF8&amp;amp;qid=1504092439&amp;amp;sr=1-1&amp;amp;keywords=Business%2BAnalysis%2Band%2BValuation%3A%2BUsing%2BFinancial%2BStatements%2B%285th%2BEdition%29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xixi</dc:creator>
  <dc:title>上海财经大学20   －20   学年第   学期教学进度表</dc:title>
  <dcterms:created xsi:type="dcterms:W3CDTF">2022-10-08T03:32:07Z</dcterms:created>
  <dcterms:modified xsi:type="dcterms:W3CDTF">2022-10-08T03:32:07Z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2022-10-08T00:00:00Z</vt:filetime>
  </property>
</Properties>
</file>