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14C7" w14:textId="276CDEA8" w:rsidR="00830BCB" w:rsidRPr="0008466D" w:rsidRDefault="00830BCB" w:rsidP="00830BCB">
      <w:pPr>
        <w:pStyle w:val="1"/>
      </w:pPr>
      <w:r w:rsidRPr="0008466D">
        <w:rPr>
          <w:rFonts w:hint="eastAsia"/>
        </w:rPr>
        <w:t>案例</w:t>
      </w:r>
    </w:p>
    <w:p w14:paraId="5D2BBA2F" w14:textId="77777777" w:rsidR="00830BCB" w:rsidRPr="00784B94" w:rsidRDefault="00830BCB" w:rsidP="00830BCB">
      <w:pPr>
        <w:spacing w:line="300" w:lineRule="auto"/>
        <w:ind w:firstLineChars="200" w:firstLine="480"/>
        <w:rPr>
          <w:rFonts w:ascii="宋体" w:hAnsi="宋体" w:cs="宋体" w:hint="eastAsia"/>
          <w:sz w:val="24"/>
        </w:rPr>
      </w:pPr>
      <w:r w:rsidRPr="00784B94">
        <w:rPr>
          <w:rFonts w:ascii="宋体" w:hAnsi="宋体" w:cs="宋体" w:hint="eastAsia"/>
          <w:sz w:val="24"/>
        </w:rPr>
        <w:t>经典案例库的建设是实现以案说法的教学设计。将国际法原理与国际实践相结合，透过案例生动体现和糅合知识点，既要展现国际法在历史长河中的发展演进，又要与国际关系相联系相融合，同时讲课程思政和专业知识有机融合。</w:t>
      </w:r>
    </w:p>
    <w:p w14:paraId="71927723" w14:textId="77777777" w:rsidR="00830BCB" w:rsidRPr="00784B94" w:rsidRDefault="00830BCB" w:rsidP="00830BCB">
      <w:pPr>
        <w:spacing w:line="440" w:lineRule="exact"/>
        <w:ind w:firstLineChars="200" w:firstLine="480"/>
        <w:jc w:val="left"/>
        <w:rPr>
          <w:rFonts w:ascii="宋体" w:hAnsi="宋体" w:cs="宋体"/>
          <w:sz w:val="24"/>
        </w:rPr>
      </w:pPr>
    </w:p>
    <w:p w14:paraId="1AF1604B"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案例一</w:t>
      </w:r>
    </w:p>
    <w:p w14:paraId="3907EA59" w14:textId="77777777" w:rsidR="00830BCB" w:rsidRDefault="00830BCB" w:rsidP="00830BCB">
      <w:pPr>
        <w:spacing w:line="440" w:lineRule="exact"/>
        <w:ind w:firstLineChars="200" w:firstLine="482"/>
        <w:jc w:val="left"/>
        <w:rPr>
          <w:rFonts w:ascii="宋体" w:hAnsi="宋体" w:cs="宋体"/>
          <w:b/>
          <w:bCs/>
          <w:sz w:val="24"/>
          <w:szCs w:val="24"/>
        </w:rPr>
      </w:pPr>
    </w:p>
    <w:p w14:paraId="7FB62EA5" w14:textId="77777777" w:rsidR="00830BCB" w:rsidRDefault="00830BCB" w:rsidP="00830BCB">
      <w:pPr>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t>美国驻德黑兰的外交和领事人员案</w:t>
      </w:r>
    </w:p>
    <w:p w14:paraId="0B2879BD" w14:textId="77777777" w:rsidR="00830BCB" w:rsidRDefault="00830BCB" w:rsidP="00830BCB">
      <w:pPr>
        <w:spacing w:line="440" w:lineRule="exact"/>
        <w:ind w:firstLineChars="200" w:firstLine="480"/>
        <w:jc w:val="center"/>
        <w:rPr>
          <w:rFonts w:ascii="宋体" w:hAnsi="宋体" w:cs="宋体"/>
          <w:sz w:val="24"/>
          <w:szCs w:val="24"/>
        </w:rPr>
      </w:pPr>
      <w:r>
        <w:rPr>
          <w:rFonts w:ascii="宋体" w:hAnsi="宋体" w:cs="宋体" w:hint="eastAsia"/>
          <w:sz w:val="24"/>
          <w:szCs w:val="24"/>
        </w:rPr>
        <w:t>Case concerning United States Diplomatic and Consular Staff in Tehran</w:t>
      </w:r>
    </w:p>
    <w:p w14:paraId="2AD2FCA3" w14:textId="77777777" w:rsidR="00830BCB" w:rsidRDefault="00830BCB" w:rsidP="00830BCB">
      <w:pPr>
        <w:spacing w:line="440" w:lineRule="exact"/>
        <w:ind w:firstLineChars="200" w:firstLine="480"/>
        <w:jc w:val="center"/>
        <w:rPr>
          <w:rFonts w:ascii="宋体" w:hAnsi="宋体" w:cs="宋体"/>
          <w:sz w:val="24"/>
          <w:szCs w:val="24"/>
        </w:rPr>
      </w:pPr>
    </w:p>
    <w:p w14:paraId="7B32BCCC"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一、案情</w:t>
      </w:r>
    </w:p>
    <w:p w14:paraId="6481D82A"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1979年11月4日，在德黑兰美国驻伊朗大使馆门前发生大规模群众示威游行。美国大使馆请求伊朗当局给予保护，但伊朗当局并没有采取保护措施。后示威者闯进使馆扣留了使馆工作人员共50多人作为“人质”，并洗劫了使馆的档案和文件。次日，在伊朗大不里士和设拉子的美国领事馆亦发生同样事件。</w:t>
      </w:r>
    </w:p>
    <w:p w14:paraId="644EBF69"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在11月5日的记者招待会上，伊朗总理霍梅尼证实了武装分子对使领馆的占领，同时宣称使馆是“间谍中心”，人质也应当继续扣留直到美国把前伊朗国王及其财产归还伊朗。伊朗外长同时强调美国应对这件事负责。</w:t>
      </w:r>
    </w:p>
    <w:p w14:paraId="3C121E86"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1979年11月29日，美国向国际法院起诉，请求法院判决并宜布：（1）伊朗政府因容许、鼓励以及未加防止和惩处伊朗人侵犯美国使领馆及其人员的行为，违反了它依1961年《维也纳外交关系公约》、1963年《维也纳领事关系公约》、1973年《关于防止和惩处侵害应受国际保护人员包括外交代表的罪行的公约》、1955年《美伊友好、经济关系和领事权利条约》和《联合国宪章》对美国承担的条约义务。（2）伊朗政府应立即释放被扣留在使领馆及伊朗外交部的全部美国公民，保证他们安全离境并不得进行任何审讯，（3）按法院确定的数额，就违反条约义务赔偿美国的损失。（4）将造成此次事故的人员送交主管当局惩处。</w:t>
      </w:r>
    </w:p>
    <w:p w14:paraId="1E29CC6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美国同时请求国际法院在此案作出终局判决之前指示临时措施：包括伊朗政府应（1）立即释放全部类籍人质，并对这些人员及所有其他美国官员在维护尊严及人道的情况下立即安全离开伊朗提供方便；（2）立即清除未经美国驻伊朗临时代办授权批准而出现在美国大使馆、办事处及领事馆中的全部人员，并恢复美国对这些馆舍的控制；（3）保证对美国大使馆及领事馆全体人员予以保护，并保证其在大使馆及办事处内的完全自由和在伊朗境内进行必要的外交和领事活动的自由；（4）不得提审美国大使馆及领事馆的任何人员，保证不采取可能损害美国执行国际法院依法作出的任何判决的权利的行动，特别是不得采取或容许任何威胁人质生命安全和安宁的行为。</w:t>
      </w:r>
    </w:p>
    <w:p w14:paraId="449451F5"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1979年12月9日，伊朗外长致函国际法院，认为法院“不能也不应审理此案”。其在信中强调：（1）人质问题只是整个问题中的“一个非中心的和次要的方面”，主要问题涉及25年多来美国对伊朗内政的干涉和无耻剥削，对伊朗人民犯下了无数违反国际法和人道主义准则的罪行。（2）人质问题是伊朗伊斯兰革命所引起的反响之一，而对这种反响的任何审查“在本质上直接属于伊朗国家主权范围内之事项”。（3）临时保全实际上是对案件实质做出裁判，这是不可接受的。</w:t>
      </w:r>
    </w:p>
    <w:p w14:paraId="0918EE1D"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二、判决</w:t>
      </w:r>
    </w:p>
    <w:p w14:paraId="1C73744D"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1979年12月10日，国际法院开庭审理了此案。15日，法院指示临时措施。次年5月24日，法院就本案实质问题做出缺席判决。</w:t>
      </w:r>
    </w:p>
    <w:p w14:paraId="1441766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1.关于管辖权问题。鉴于伊朗没有提交辩诉状也没有出庭，法院依据《国际法院规约》第53条开庭审理。</w:t>
      </w:r>
    </w:p>
    <w:p w14:paraId="2E69263D"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法院将1961年《维也纳外交关系公约》、1963年《维也纳领事关系公约》和1955年《美伊友好、经济关系和领事权利条约》作为其行使管辖权的依据，理由是前两项公约的“任择议定书”（分别为第1条和第3条）以及后项双边条约均有将争端提交仲裁或司法解决的规定。至于是否根据《关于防止和惩处侵害应受国际保护人员包括外交代表的罪行的公约》第13条行使管辖权，法院认为没有考虑之必要。</w:t>
      </w:r>
    </w:p>
    <w:p w14:paraId="12ECC88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2.关于指示临时措施。法院认为由于本案请求之事的局势继续存在，显示了有关人员仍置身于困乏、痛苦、忧虑，甚至是生命和健康的威胁之中，并因而可能造成不可弥补的损失，因此法院根据《国际法院规约》第41条的规定，认为有必要指示临时措施，以保全伊朗所要求的权利。</w:t>
      </w:r>
    </w:p>
    <w:p w14:paraId="20D6B3A0"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3.关于实质问题。法院认为1979年11月4日在德黑兰及11月5日在大不里士和设拉子发生的袭击和占据美国使领馆、扣留人质和毁坏文件的事实，就其性质来看，可以分为两个阶段：</w:t>
      </w:r>
    </w:p>
    <w:p w14:paraId="67B5B1E7"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第一阶段的事实包括1979年11月4日和5日发生的袭击、扣留和毁坏文件事件，这不能直接归因于伊朗国家，因为没有迹象证明这些行为是代表国家作出的。但这并不表明伊朗对这一阶段的事实不负任何责任。因此，在美国使馆请求伊朗当局给予援助和保护，而后者没有采取适当措施保护使领馆人员及财产并制止事态发展时，伊朗已经违反了它的条约义务。国际法院因此得出结论：</w:t>
      </w:r>
    </w:p>
    <w:p w14:paraId="4076CE46"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“在11月4日，伊朗政府非常清楚：</w:t>
      </w:r>
    </w:p>
    <w:p w14:paraId="28D427BA"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a.根据现行条约，伊朗政府有义务保护美国使馆及其外交和领事人员，使他们不受任何袭击，他们的不可侵犯权不受任何破坏；</w:t>
      </w:r>
    </w:p>
    <w:p w14:paraId="6E04CB4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b.美国使馆请求帮助时，情况需要他们采取行动；</w:t>
      </w:r>
    </w:p>
    <w:p w14:paraId="48F86D24"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c.伊朗完全没有履行它的义务。”</w:t>
      </w:r>
      <w:r>
        <w:rPr>
          <w:rFonts w:ascii="宋体" w:hAnsi="宋体" w:cs="宋体" w:hint="eastAsia"/>
          <w:sz w:val="24"/>
          <w:szCs w:val="24"/>
          <w:vertAlign w:val="superscript"/>
        </w:rPr>
        <w:footnoteReference w:id="1"/>
      </w:r>
    </w:p>
    <w:p w14:paraId="7D7FD704"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第二阶段的事实是武力分子完全占据了使领馆，外交和领事人员被扣作人质。根据维也纳外交关系公约，伊朗有义务立即采取一切措施尽快结束这一事件，使一切恢复原状并赔偿损失。但伊朗政府没有这样做，而是在这些行动后决定使这状态继续以迫使美国满足其要求。这样，这些武力分子就成了国家指使的人，这些行为也就转化为国家行为了。而伊朗政府继续占据使领馆和扣留人质的行为无疑违反了它的条约义务。</w:t>
      </w:r>
    </w:p>
    <w:p w14:paraId="2C68A599"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伊朗外长在给国际法院的两封信中认为美国曾在伊朗进行犯罪活动，因而伊朗的行为是合理的。法院认为，即使情况属实，也不能作为伊朗扣押人质行为的理由，因为外交法已为外交人员的这种不法行为规定了宣布不受欢迎或断绝外交关系的制裁。因此，伊朗有义务赔偿美国的损失。鉴于违反义务的行为仍在继续，具体赔偿数额尚无法确定。</w:t>
      </w:r>
    </w:p>
    <w:p w14:paraId="45A59CD9"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根据上述理由，国际法院作出如下判决：</w:t>
      </w:r>
    </w:p>
    <w:p w14:paraId="7D7F087F"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（1）以13票对2票判定，伊朗业已违反并正在违反其依国际条约和长期确立的国际法规则所承担的义务。</w:t>
      </w:r>
    </w:p>
    <w:p w14:paraId="0D75DDE9"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（2）以13票对2票判定，伊朗因违反这些义务而需对美国承担国际责任。</w:t>
      </w:r>
    </w:p>
    <w:p w14:paraId="7DCEEB2A"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（3）以15票对0票判定，伊朗必须立即采取一切行动对局势予以补救，包括立即释放被扣押人员、为其离境提供便利并将馆舍、档案等交由保管国保管。</w:t>
      </w:r>
    </w:p>
    <w:p w14:paraId="06209AF4"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法院作出的判决并没有得到伊朗的承认。最后，该事件还是由两国通过外交途径得以解决。美伊双方于1981年1月19日达成协议，次日人质被全部释放。美国也中止了关于赔偿的后续诉讼程序。法院自此将本案从案件总表上注销。</w:t>
      </w:r>
    </w:p>
    <w:p w14:paraId="2BE53D50"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三、评注</w:t>
      </w:r>
    </w:p>
    <w:p w14:paraId="146DE228"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国际法院对本案的判决是对1961年《维也纳外交关系公约》和1963年《维也纳领事关系公约》中一系列国际法原则和规则的重申和确认，认为伊朗违反了其国际义务，应承担责任。国家责任由两个要素构成，一是客观上存在国际不法行为，而是主观上该不法行为可归因于国家。本案是说明外交领事关系和国家责任构成问题的恰当案例。本案中，在伊朗发生的侵犯使领馆和外交人员的事件，无疑是国际不法行为。该行为能否归因于伊朗国家？伊朗提出的美在伊境内从事犯罪活动、拒绝引波渡前国王并交还其财产的主张能否作为其免除国际责任的理由？这正是国际法院需要判明的问题。</w:t>
      </w:r>
    </w:p>
    <w:p w14:paraId="5689E5E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法院将整个事件划分为两个阶段。在第一阶段，证据尚不足以证明事件的发生可归因于伊朗国家，但在美国大使馆请求伊朗当局保护但后者拒不作为的时候就产生了国家责任问题。在第二阶段，伊朗国家元首的态度无疑表明了政府对侵犯行为的纵容和支持，不法行为的可归因性也就非常明显了。</w:t>
      </w:r>
    </w:p>
    <w:p w14:paraId="0346CDA8"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当然，由于本案的政治背景相当复杂，对情况应当作具体分析。在法院审理期间，美国曾于1980年4月24日秘密派遣武装分队潜入伊朗准备营救被扣人质，但由于技术故障原因未能成功。法院没有评价这次行动的合法性以及美国由此所负的责任。它仅表示关注并认为该行动损害了国际关系中对司法程序的尊重，但对于伊朗提出各项理由，法院认为即使在政治上可能有道理，但在法律上也缺乏依据。一般而言，政治上的因素很难成为不履行《维也纳外交关系公约》等相关国际法规则的理由。因此，伊朗应对其违反国际义务的行为承担国家责任。</w:t>
      </w:r>
    </w:p>
    <w:p w14:paraId="4E4C529D" w14:textId="77777777" w:rsidR="00830BCB" w:rsidRDefault="00830BCB" w:rsidP="00830BCB">
      <w:pPr>
        <w:spacing w:line="440" w:lineRule="exact"/>
        <w:ind w:firstLineChars="200" w:firstLine="480"/>
        <w:jc w:val="left"/>
        <w:rPr>
          <w:rFonts w:ascii="宋体" w:hAnsi="宋体" w:cs="宋体"/>
          <w:sz w:val="24"/>
          <w:szCs w:val="24"/>
        </w:rPr>
      </w:pPr>
    </w:p>
    <w:p w14:paraId="610A2DCC" w14:textId="77777777" w:rsidR="00830BCB" w:rsidRDefault="00830BCB" w:rsidP="00830BCB">
      <w:pPr>
        <w:spacing w:line="440" w:lineRule="exact"/>
        <w:ind w:firstLineChars="200" w:firstLine="480"/>
        <w:jc w:val="left"/>
        <w:rPr>
          <w:rFonts w:ascii="宋体" w:hAnsi="宋体" w:cs="宋体" w:hint="eastAsia"/>
          <w:sz w:val="24"/>
          <w:szCs w:val="24"/>
        </w:rPr>
      </w:pPr>
    </w:p>
    <w:p w14:paraId="5E8BD701"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案例二</w:t>
      </w:r>
    </w:p>
    <w:p w14:paraId="35C430C8" w14:textId="77777777" w:rsidR="00830BCB" w:rsidRDefault="00830BCB" w:rsidP="00830BCB">
      <w:pPr>
        <w:spacing w:line="440" w:lineRule="exact"/>
        <w:ind w:firstLineChars="200" w:firstLine="482"/>
        <w:jc w:val="left"/>
        <w:rPr>
          <w:rFonts w:ascii="宋体" w:hAnsi="宋体" w:cs="宋体"/>
          <w:b/>
          <w:bCs/>
          <w:sz w:val="24"/>
          <w:szCs w:val="24"/>
        </w:rPr>
      </w:pPr>
    </w:p>
    <w:p w14:paraId="42904651" w14:textId="77777777" w:rsidR="00830BCB" w:rsidRDefault="00830BCB" w:rsidP="00830BCB">
      <w:pPr>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t>美国诉伊朗石油平台案</w:t>
      </w:r>
      <w:r>
        <w:rPr>
          <w:rFonts w:ascii="宋体" w:hAnsi="宋体" w:cs="宋体" w:hint="eastAsia"/>
          <w:b/>
          <w:bCs/>
          <w:sz w:val="24"/>
          <w:szCs w:val="24"/>
          <w:vertAlign w:val="superscript"/>
        </w:rPr>
        <w:footnoteReference w:id="2"/>
      </w:r>
    </w:p>
    <w:p w14:paraId="33E66D37" w14:textId="77777777" w:rsidR="00830BCB" w:rsidRDefault="00830BCB" w:rsidP="00830BCB">
      <w:pPr>
        <w:spacing w:line="440" w:lineRule="exact"/>
        <w:ind w:firstLineChars="200" w:firstLine="480"/>
        <w:jc w:val="center"/>
        <w:rPr>
          <w:rFonts w:ascii="宋体" w:hAnsi="宋体" w:cs="宋体"/>
          <w:sz w:val="24"/>
          <w:szCs w:val="24"/>
        </w:rPr>
      </w:pPr>
      <w:r>
        <w:rPr>
          <w:rFonts w:ascii="宋体" w:hAnsi="宋体" w:cs="宋体" w:hint="eastAsia"/>
          <w:sz w:val="24"/>
          <w:szCs w:val="24"/>
        </w:rPr>
        <w:t>Islamic Republic of ran v.United States of America Case</w:t>
      </w:r>
    </w:p>
    <w:p w14:paraId="29F89E04" w14:textId="77777777" w:rsidR="00830BCB" w:rsidRDefault="00830BCB" w:rsidP="00830BCB">
      <w:pPr>
        <w:spacing w:line="440" w:lineRule="exact"/>
        <w:ind w:firstLineChars="200" w:firstLine="480"/>
        <w:jc w:val="center"/>
        <w:rPr>
          <w:rFonts w:ascii="宋体" w:hAnsi="宋体" w:cs="宋体"/>
          <w:sz w:val="24"/>
          <w:szCs w:val="24"/>
        </w:rPr>
      </w:pPr>
      <w:r>
        <w:rPr>
          <w:rFonts w:ascii="宋体" w:hAnsi="宋体" w:cs="宋体" w:hint="eastAsia"/>
          <w:sz w:val="24"/>
          <w:szCs w:val="24"/>
        </w:rPr>
        <w:t>Concerning Oil Platforms,1992-2003</w:t>
      </w:r>
    </w:p>
    <w:p w14:paraId="41D2BA6C" w14:textId="77777777" w:rsidR="00830BCB" w:rsidRDefault="00830BCB" w:rsidP="00830BCB">
      <w:pPr>
        <w:spacing w:line="440" w:lineRule="exact"/>
        <w:ind w:firstLineChars="200" w:firstLine="480"/>
        <w:jc w:val="center"/>
        <w:rPr>
          <w:rFonts w:ascii="宋体" w:hAnsi="宋体" w:cs="宋体"/>
          <w:sz w:val="24"/>
          <w:szCs w:val="24"/>
        </w:rPr>
      </w:pPr>
    </w:p>
    <w:p w14:paraId="4C469933"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一、案情</w:t>
      </w:r>
    </w:p>
    <w:p w14:paraId="4B701CCF"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1987年10月16日，悬挂美国国旗的科威特油轮“海岛城号”在科威特水域被导弹击中，美国认为该船是被伊朗从其控制的法奥半岛发射的蚕式导弹击中的，因此决定报复。1987年10月19日，美国出动四艘驱逐舰发动了对伊朗莱沙达特油田平台、莱萨拉特使用平台的攻击，造成多个平台遭到破坏。</w:t>
      </w:r>
    </w:p>
    <w:p w14:paraId="270DFE87"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美国称莱沙达特油田平台配备雷达和通讯设施，机枪等，是监视波斯湾船只航行和为战斗小艇和直升机攻击船只的基地。美国攻击后当天通知了安理会，称这次行动基于固有的自卫权。</w:t>
      </w:r>
    </w:p>
    <w:p w14:paraId="5EEA45E7"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1988年4月14日，美国军舰“罗伯茨号”被水雷击中，10名船员受伤，美军认为水雷为伊朗方面布设。1988年4月18日上午，美国军舰美利尔号、特兰登号、麦克科米克号对伊朗塞尔曼石油平台进行了50轮炮击后炸毁了该平台。同时，美舰温莱特号、巴格利号和辛普森号进攻了纳瑟石油平台，造成平台被毁，多人受伤。</w:t>
      </w:r>
    </w:p>
    <w:p w14:paraId="5C8885FC"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美国与伊朗在1955年签署了《友好、经济关系和领事权利条约》，该条约为了促进伊朗石油工业的发展，明确美伊之间应建立稳周永久的和平和真诚友谊，每个缔约国任何时候都应避免采用会损害他国国民、公司必要的权利和利益的不合理或歧视性的措施。</w:t>
      </w:r>
    </w:p>
    <w:p w14:paraId="7C88F0E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伊朗在1992年11月2日向国际法院提起诉讼，请求判决美国违反1955年条约和国际法，应对其攻击伊朗石油平台的行为承担责任。美国有责任对自己违反国际义务和造成的损害做出全面赔偿。美国则认为其没有违反条约义务，反而是伊朗使用水雷和导弹攻击海湾船只，应作出全面赔偿。</w:t>
      </w:r>
    </w:p>
    <w:p w14:paraId="2C8FD93E" w14:textId="77777777" w:rsidR="00830BCB" w:rsidRDefault="00830BCB" w:rsidP="00830BCB">
      <w:pPr>
        <w:spacing w:line="440" w:lineRule="exact"/>
        <w:ind w:firstLineChars="200" w:firstLine="482"/>
        <w:jc w:val="left"/>
        <w:rPr>
          <w:rFonts w:ascii="宋体" w:hAnsi="宋体" w:cs="宋体"/>
          <w:sz w:val="24"/>
          <w:szCs w:val="24"/>
        </w:rPr>
      </w:pPr>
      <w:r>
        <w:rPr>
          <w:rFonts w:ascii="宋体" w:hAnsi="宋体" w:cs="宋体" w:hint="eastAsia"/>
          <w:b/>
          <w:bCs/>
          <w:sz w:val="24"/>
          <w:szCs w:val="24"/>
        </w:rPr>
        <w:t>二、评论</w:t>
      </w:r>
    </w:p>
    <w:p w14:paraId="258DDFE4"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尽管国际法院最终裁决美国对伊朗的攻击不是保护美国安全的自卫措施，但美国也未违反对伊朗的条约义务，伊朗的赔偿请求不予支持。同时美国的赔偿请求也不予支持。但是，本案的裁决对于国际责任制度的若干原则予以了确</w:t>
      </w:r>
      <w:r>
        <w:rPr>
          <w:rFonts w:ascii="宋体" w:hAnsi="宋体" w:cs="宋体" w:hint="eastAsia"/>
          <w:sz w:val="24"/>
          <w:szCs w:val="24"/>
        </w:rPr>
        <w:lastRenderedPageBreak/>
        <w:t>认。</w:t>
      </w:r>
    </w:p>
    <w:p w14:paraId="4ED2E26D" w14:textId="77777777" w:rsidR="00830BCB" w:rsidRDefault="00830BCB" w:rsidP="00830BCB">
      <w:pPr>
        <w:spacing w:line="440" w:lineRule="exact"/>
        <w:ind w:firstLineChars="200" w:firstLine="480"/>
        <w:rPr>
          <w:rFonts w:ascii="宋体" w:hAnsi="宋体" w:cs="宋体"/>
          <w:sz w:val="24"/>
          <w:szCs w:val="24"/>
        </w:rPr>
      </w:pPr>
      <w:r>
        <w:rPr>
          <w:rFonts w:ascii="宋体" w:hAnsi="宋体" w:cs="宋体" w:hint="eastAsia"/>
          <w:sz w:val="24"/>
          <w:szCs w:val="24"/>
        </w:rPr>
        <w:t>在本案中，国际法院明确1955年条约对缔约各方规定了涉及一系列事项的多种义务。缔约一方有任何违反这些义务的行为均属非法，不论行为所采取的方式为何。以使用武力的方式侵犯另一缔约方根据条约所享有的权利，同通过行政决定或以任何决定或以任何其他手段实施的侵犯一样不合法。</w:t>
      </w:r>
    </w:p>
    <w:p w14:paraId="0B455D12" w14:textId="77777777" w:rsidR="00830BCB" w:rsidRPr="00784B94" w:rsidRDefault="00830BCB" w:rsidP="00830BCB">
      <w:pPr>
        <w:autoSpaceDE w:val="0"/>
        <w:spacing w:line="360" w:lineRule="auto"/>
        <w:ind w:firstLineChars="177" w:firstLine="425"/>
        <w:rPr>
          <w:rFonts w:ascii="宋体" w:hAnsi="宋体" w:cs="宋体"/>
          <w:sz w:val="24"/>
          <w:szCs w:val="24"/>
        </w:rPr>
      </w:pPr>
      <w:r>
        <w:rPr>
          <w:rFonts w:ascii="宋体" w:hAnsi="宋体" w:cs="宋体" w:hint="eastAsia"/>
          <w:sz w:val="24"/>
          <w:szCs w:val="24"/>
        </w:rPr>
        <w:t>国际法院显然是确认违背国际义务就构成国际不法行为，而不论该义务的起源为何，不论主题为何，不论所违背的义务的内容为何，也不论对不符合要求的行为的描述为何。这实际上直接确认了国际法委员会2001年二读通过的《国家的国际不法行为的责任》第12条，即一国的行为如不符合国际义务对它的要求，即为违背国际义务，而不论该义务的起源或特征为何。</w:t>
      </w:r>
    </w:p>
    <w:p w14:paraId="7F103D79" w14:textId="77777777" w:rsidR="00830BCB" w:rsidRDefault="00830BCB" w:rsidP="00830BCB">
      <w:pPr>
        <w:autoSpaceDE w:val="0"/>
        <w:spacing w:line="360" w:lineRule="auto"/>
        <w:ind w:leftChars="200" w:left="420" w:firstLineChars="200" w:firstLine="482"/>
        <w:jc w:val="center"/>
        <w:rPr>
          <w:rFonts w:ascii="宋体" w:hAnsi="宋体"/>
          <w:b/>
          <w:bCs/>
          <w:sz w:val="24"/>
          <w:szCs w:val="24"/>
        </w:rPr>
      </w:pPr>
    </w:p>
    <w:p w14:paraId="2D13452B" w14:textId="77777777" w:rsidR="00830BCB" w:rsidRDefault="00830BCB" w:rsidP="00830BCB">
      <w:pPr>
        <w:spacing w:line="440" w:lineRule="exact"/>
        <w:ind w:firstLineChars="200" w:firstLine="482"/>
        <w:jc w:val="left"/>
        <w:rPr>
          <w:rFonts w:ascii="宋体" w:hAnsi="宋体" w:cs="宋体"/>
          <w:b/>
          <w:bCs/>
          <w:sz w:val="24"/>
          <w:szCs w:val="24"/>
        </w:rPr>
      </w:pPr>
    </w:p>
    <w:p w14:paraId="57513FFC" w14:textId="77777777" w:rsidR="00830BCB" w:rsidRDefault="00830BCB" w:rsidP="00830BCB">
      <w:pPr>
        <w:spacing w:line="440" w:lineRule="exact"/>
        <w:ind w:firstLineChars="200" w:firstLine="482"/>
        <w:jc w:val="left"/>
        <w:rPr>
          <w:rFonts w:ascii="宋体" w:hAnsi="宋体" w:cs="宋体"/>
          <w:b/>
          <w:bCs/>
          <w:sz w:val="24"/>
          <w:szCs w:val="24"/>
        </w:rPr>
      </w:pPr>
    </w:p>
    <w:p w14:paraId="63109DAE"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案例三</w:t>
      </w:r>
    </w:p>
    <w:p w14:paraId="0F7E1513" w14:textId="77777777" w:rsidR="00830BCB" w:rsidRDefault="00830BCB" w:rsidP="00830BCB">
      <w:pPr>
        <w:spacing w:line="440" w:lineRule="exact"/>
        <w:ind w:firstLineChars="200" w:firstLine="482"/>
        <w:jc w:val="left"/>
        <w:rPr>
          <w:rFonts w:ascii="宋体" w:hAnsi="宋体" w:cs="宋体"/>
          <w:b/>
          <w:bCs/>
          <w:sz w:val="24"/>
          <w:szCs w:val="24"/>
        </w:rPr>
      </w:pPr>
    </w:p>
    <w:p w14:paraId="72FB2CDA" w14:textId="77777777" w:rsidR="00830BCB" w:rsidRDefault="00830BCB" w:rsidP="00830BCB">
      <w:pPr>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t>国际刑事法院调查与起诉</w:t>
      </w:r>
    </w:p>
    <w:p w14:paraId="28F494D1" w14:textId="77777777" w:rsidR="00830BCB" w:rsidRDefault="00830BCB" w:rsidP="00830BCB">
      <w:pPr>
        <w:spacing w:line="440" w:lineRule="exact"/>
        <w:ind w:firstLineChars="200" w:firstLine="482"/>
        <w:jc w:val="center"/>
        <w:rPr>
          <w:rFonts w:ascii="宋体" w:hAnsi="宋体" w:cs="宋体"/>
          <w:b/>
          <w:bCs/>
          <w:sz w:val="24"/>
          <w:szCs w:val="24"/>
        </w:rPr>
      </w:pPr>
    </w:p>
    <w:p w14:paraId="49FDE5E0"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2005年联合国安理会通过1593号决议，认定苏丹局势继续对国际和平与安全构成威胁，并决定把2002年7月1日以来苏丹达尔富尔地区的局势提交国际刑事法院检察官进行调查。调查后，国际刑事法院检察官于2008年7月14日向预审分庭申请对时任苏丹总统巴希尔的逮捕令。2009年4月3日，国际刑事法院第一预审分庭正式签发该逮捕令，指控巴希尔蓄意指令攻击苏丹达尔富尔地区的平民人口，犯有战争罪和危害人类罪。这是国际刑事法院第一次对现任的国家元首签发逮捕令。2010年7月2日，国际刑事法院再次发出逮捕令，其中增加了三项有关种族灭绝罪的指控。</w:t>
      </w:r>
      <w:r>
        <w:rPr>
          <w:rFonts w:ascii="宋体" w:hAnsi="宋体" w:cs="宋体" w:hint="eastAsia"/>
          <w:sz w:val="24"/>
          <w:szCs w:val="24"/>
          <w:vertAlign w:val="superscript"/>
        </w:rPr>
        <w:footnoteReference w:id="3"/>
      </w:r>
    </w:p>
    <w:p w14:paraId="2C6894F3"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从道理上讲，对苏丹总统巴希尔起诉并签发逮捕令，并不等于他本人肯定犯有上述被起诉的国际罪行，到底有没有罪？还需通过证据和法院审判才能确定，但这个案子能够在法律上成立，则清楚显示了国际刑法的基本概念与特征。</w:t>
      </w:r>
    </w:p>
    <w:p w14:paraId="4326E832" w14:textId="77777777" w:rsidR="00830BCB" w:rsidRDefault="00830BCB" w:rsidP="00830BCB">
      <w:pPr>
        <w:spacing w:line="440" w:lineRule="exact"/>
        <w:ind w:firstLineChars="200" w:firstLine="480"/>
        <w:jc w:val="left"/>
        <w:rPr>
          <w:rFonts w:ascii="宋体" w:hAnsi="宋体" w:cs="宋体"/>
          <w:sz w:val="24"/>
          <w:szCs w:val="24"/>
        </w:rPr>
      </w:pPr>
    </w:p>
    <w:p w14:paraId="46A6AFAA" w14:textId="77777777" w:rsidR="00830BCB" w:rsidRDefault="00830BCB" w:rsidP="00830BCB">
      <w:pPr>
        <w:spacing w:line="440" w:lineRule="exact"/>
        <w:ind w:firstLineChars="200" w:firstLine="480"/>
        <w:jc w:val="left"/>
        <w:rPr>
          <w:rFonts w:ascii="宋体" w:hAnsi="宋体" w:cs="宋体"/>
          <w:sz w:val="24"/>
          <w:szCs w:val="24"/>
        </w:rPr>
      </w:pPr>
    </w:p>
    <w:p w14:paraId="03ADDD03"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案例四</w:t>
      </w:r>
    </w:p>
    <w:p w14:paraId="40045DCF" w14:textId="77777777" w:rsidR="00830BCB" w:rsidRDefault="00830BCB" w:rsidP="00830BCB">
      <w:pPr>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t>作战方法与手段</w:t>
      </w:r>
    </w:p>
    <w:p w14:paraId="028F9E00" w14:textId="77777777" w:rsidR="00830BCB" w:rsidRDefault="00830BCB" w:rsidP="00830BCB">
      <w:pPr>
        <w:spacing w:line="440" w:lineRule="exact"/>
        <w:ind w:firstLineChars="200" w:firstLine="482"/>
        <w:jc w:val="center"/>
        <w:rPr>
          <w:rFonts w:ascii="宋体" w:hAnsi="宋体" w:cs="宋体"/>
          <w:b/>
          <w:bCs/>
          <w:sz w:val="24"/>
          <w:szCs w:val="24"/>
        </w:rPr>
      </w:pPr>
    </w:p>
    <w:p w14:paraId="5AAD2AA2"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叙利亚化学武器袭击事件能表明人道法的实践性和重要性。2017年4月4日，叙利亚西北部伊德利卜省一座反对派武装控制的小镇遭遇空袭，造成大量人员伤亡，死者和伤员呈现化学武器中毒迹象，国际社会为之震惊。</w:t>
      </w:r>
      <w:r>
        <w:rPr>
          <w:rFonts w:ascii="宋体" w:hAnsi="宋体" w:cs="宋体" w:hint="eastAsia"/>
          <w:sz w:val="24"/>
          <w:szCs w:val="24"/>
          <w:vertAlign w:val="superscript"/>
        </w:rPr>
        <w:footnoteReference w:id="4"/>
      </w:r>
      <w:r>
        <w:rPr>
          <w:rFonts w:ascii="宋体" w:hAnsi="宋体" w:cs="宋体" w:hint="eastAsia"/>
          <w:sz w:val="24"/>
          <w:szCs w:val="24"/>
        </w:rPr>
        <w:t>空袭导致数十人出现呼吸困难以及呕吐、头晕和口吐白沫等症状，其中包括不少儿童。</w:t>
      </w:r>
    </w:p>
    <w:p w14:paraId="40497161"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安理会叙利亚化学武器问题联合调查机制的负责人穆莱特(Edmond Mulet)于2017年7月6日向安理会提交了第六份关于叙利亚化学武器问题的报告，并呼吁各方保证该机制成员以公正、独立、专业的方式对叙利亚化学武器袭击事件进行全面调查。但遗憾的是，化学武器问题并没有解决。</w:t>
      </w:r>
    </w:p>
    <w:p w14:paraId="5C8F6FA0"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2018年4月8日，叙利亚大马士革郊外东古塔地区的杜马镇(Douma)又遭毒气袭击，有43人在这起袭击事件中死亡，超过500人接受治疗。据世界卫生组织证实，受害者都出现“和暴露于高毒性化学品相一致的症状”</w:t>
      </w:r>
      <w:r>
        <w:rPr>
          <w:rFonts w:ascii="宋体" w:hAnsi="宋体" w:cs="宋体" w:hint="eastAsia"/>
          <w:sz w:val="24"/>
          <w:szCs w:val="24"/>
          <w:vertAlign w:val="superscript"/>
        </w:rPr>
        <w:footnoteReference w:id="5"/>
      </w:r>
      <w:r>
        <w:rPr>
          <w:rFonts w:ascii="宋体" w:hAnsi="宋体" w:cs="宋体" w:hint="eastAsia"/>
          <w:sz w:val="24"/>
          <w:szCs w:val="24"/>
        </w:rPr>
        <w:t>。对此国际社会又深感震惊。4月10日，禁止化学武器组织宣布派遣调查组赶赴杜马镇，对疑似化武袭击进行调查。虽然化武袭击事件是何人所为？目前不得而知，但战争中使用化武、尤其是对平民使用化武，是不人道行为，也是严重违反国际人道法行为。</w:t>
      </w:r>
    </w:p>
    <w:p w14:paraId="05BA41B8" w14:textId="77777777" w:rsidR="00830BCB" w:rsidRDefault="00830BCB" w:rsidP="00830BCB">
      <w:pPr>
        <w:spacing w:line="440" w:lineRule="exact"/>
        <w:ind w:firstLineChars="200" w:firstLine="480"/>
        <w:jc w:val="left"/>
        <w:rPr>
          <w:rFonts w:ascii="宋体" w:hAnsi="宋体" w:cs="宋体"/>
          <w:sz w:val="24"/>
          <w:szCs w:val="24"/>
        </w:rPr>
      </w:pPr>
    </w:p>
    <w:p w14:paraId="5577D53B" w14:textId="77777777" w:rsidR="00830BCB" w:rsidRDefault="00830BCB" w:rsidP="00830BCB">
      <w:pPr>
        <w:spacing w:line="440" w:lineRule="exact"/>
        <w:ind w:firstLineChars="200" w:firstLine="480"/>
        <w:jc w:val="left"/>
        <w:rPr>
          <w:rFonts w:ascii="宋体" w:hAnsi="宋体" w:cs="宋体"/>
          <w:sz w:val="24"/>
          <w:szCs w:val="24"/>
        </w:rPr>
      </w:pPr>
    </w:p>
    <w:p w14:paraId="713C2AC6" w14:textId="77777777" w:rsidR="00830BCB" w:rsidRDefault="00830BCB" w:rsidP="00830BCB">
      <w:pPr>
        <w:spacing w:line="440" w:lineRule="exact"/>
        <w:ind w:firstLineChars="200" w:firstLine="480"/>
        <w:jc w:val="left"/>
        <w:rPr>
          <w:rFonts w:ascii="宋体" w:hAnsi="宋体" w:cs="宋体" w:hint="eastAsia"/>
          <w:sz w:val="24"/>
          <w:szCs w:val="24"/>
        </w:rPr>
      </w:pPr>
    </w:p>
    <w:p w14:paraId="2C41CED0"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案例五</w:t>
      </w:r>
    </w:p>
    <w:p w14:paraId="73A7D627" w14:textId="77777777" w:rsidR="00830BCB" w:rsidRDefault="00830BCB" w:rsidP="00830BCB">
      <w:pPr>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t>绞刑架上的叛国名嘴</w:t>
      </w:r>
    </w:p>
    <w:p w14:paraId="08CF9925" w14:textId="77777777" w:rsidR="00830BCB" w:rsidRDefault="00830BCB" w:rsidP="00830BCB">
      <w:pPr>
        <w:spacing w:line="440" w:lineRule="exact"/>
        <w:ind w:firstLineChars="200" w:firstLine="482"/>
        <w:jc w:val="center"/>
        <w:rPr>
          <w:rFonts w:ascii="宋体" w:hAnsi="宋体" w:cs="宋体"/>
          <w:b/>
          <w:bCs/>
          <w:sz w:val="24"/>
          <w:szCs w:val="24"/>
        </w:rPr>
      </w:pPr>
    </w:p>
    <w:p w14:paraId="1F32E767"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一、基本案情</w:t>
      </w:r>
    </w:p>
    <w:p w14:paraId="7EE40E6A"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威廉·乔伊斯出生在纽约布鲁克林区，父母都是入了美国籍的爱尔兰侨民。乔伊斯在美国生活的时间很短，3岁就远渡重洋，随父母前往爱尔兰的戈</w:t>
      </w:r>
      <w:r>
        <w:rPr>
          <w:rFonts w:ascii="宋体" w:hAnsi="宋体" w:cs="宋体" w:hint="eastAsia"/>
          <w:sz w:val="24"/>
          <w:szCs w:val="24"/>
        </w:rPr>
        <w:lastRenderedPageBreak/>
        <w:t>尔韦居住。1921年，在爱尔兰独立战争中，15岁的乔伊斯被英国陆军招募为传输情报的快递员。然而，一次放学回家的路上，乔伊斯行踪暴露，几乎被爱尔兰共和军暗杀。安全起见，招募他的军官将其从爱尔兰送去英格兰的伍斯特郡，让他在那继续接受学校教育。</w:t>
      </w:r>
    </w:p>
    <w:p w14:paraId="0E09FAF6"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1924年英国大选期间，乔伊斯卷入一场斗殴，右侧脸颊被剃刀割伤，从耳垂到嘴角留下一道醒目的疤痕，这令他的嘴唇终身无法合拢。乔伊斯坚称，袭击者是试图谋害他的犹太人。他对犹太人的仇恨也从此埋下种子。后来，乔伊斯在伦敦大学伯贝克学院度过大学生涯，他对犹太人一如既往地憎恨，曾控诉说一名犹太教徒偷窃了自己的学术研究成果。大学期间，乔伊斯接触到反犹的法西斯主义，并被其标榜的均贫富、大众政治、提振经济等口号吸引，很快成为一名狂热的法西斯分子。</w:t>
      </w:r>
    </w:p>
    <w:p w14:paraId="2FED6BFC"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1932年，乔伊斯加入英国最早的法西斯组织。他在斗殴中手持棍棒与左派工人大打出手，并声嘶力竭高喊法西斯口号，引起有“英国希特勒”之称的马科斯·莫斯利的关注。从发展成员到担任宣传总监，再到充当莫斯利的副手，乔伊斯在法西斯组织里迅速晋升。同时，他还以出色的演说能力闻名，虚荣心得到极大满足。但因为莫斯利对待犹太人的态度相对谨慎，认为乔伊斯对犹太人的恶性攻击限制了该党的潜在吸引力，随着该党未能在1937年的伦敦市政选举中赢得胜利，两人分歧进一步加剧。选举后不久，莫斯利解雇了乔伊斯。乔伊斯很快开始自立门户，创办了反犹色彩更为浓厚的全国社会主义同盟，旨在将德国纳粹思想引入英国，开创英国法西斯主义的新形式。没过多久，这一组织就因英国当局强烈反对而解散。在诸事不顺的形势下，他对纳粹德国的向往之情更加强烈，开始四处打听获得德国国籍的方法，并向德国传递情报。</w:t>
      </w:r>
    </w:p>
    <w:p w14:paraId="42547A5D"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1939年8月，战争乌云席卷欧洲大陆，英德战事即将爆发，乔伊斯拿着从伦敦去往柏林的单程票，逃到了心中的“圣地”纳粹德国并顺利应聘到纳粹德国宣传部长约瑟夫·戈培尔手下，成为德国对英广播的广播员。当时的戈培尔迫切需要将纳粹思想传播到盟国，特别是英国和美国，以瓦解对方的斗志。能言善辩的乔伊斯正是他寻找的理想人选。</w:t>
      </w:r>
    </w:p>
    <w:p w14:paraId="3DE71721"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乔伊斯在汉堡国家广播公司不来梅广播站播送瓦解人心的口水话之外，在节目中，他有时即兴念顺口溜，有时又发表戏剧化演说，成了战争年代“英国人赖以度过漫长严冬的消遣”。据1939年底的调查，近30%的英国人收听他的节目。到1940年夏天，他已有600万常规听众和1800万临时听众，而当时</w:t>
      </w:r>
      <w:r>
        <w:rPr>
          <w:rFonts w:ascii="宋体" w:hAnsi="宋体" w:cs="宋体" w:hint="eastAsia"/>
          <w:sz w:val="24"/>
          <w:szCs w:val="24"/>
        </w:rPr>
        <w:lastRenderedPageBreak/>
        <w:t>BBC的听众也不过2300万人。乔伊斯的听众还给他起了个“呵呵勋爵(Lord Haw-Haw)”的外号，原因是他开口前习惯性先清嗓子。这些带有诱导性和煽动性的广播内容，仍令不少本就焦虑的英国民众陷入不安和迷茫。在这个名为“德国来电”的广播节目，乔伊斯一干就是6年。戈培尔对其表现非常满意，主动为他加薪，还提拔他为纳粹外宣电台英语部主任。乔伊斯甚至结合广播内容，出版了一本名叫《英格兰的黄昏》的书，以多种多样的形式配合纳粹的反英宣传。</w:t>
      </w:r>
    </w:p>
    <w:p w14:paraId="656F228E"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1945年4月，英军进入柏林。“德国来电”节目当月月底停播，乔伊斯躲到德国边境城市弗伦斯堡。没多久，他遇见两名寻找柴火的英国士兵，主动带路，士兵随即听出乔伊斯的声音。“你应该是‘呵呵勋爵’吧？”士兵用英文问道。乔伊斯试图从口袋里掏出德国身份证明，士兵以为他随身携带有武器，一枪打在他的腿上，将其俘获。这名抓获乔伊斯的士兵是一名英国犹太人。他被犹太士兵押到英国。</w:t>
      </w:r>
    </w:p>
    <w:p w14:paraId="738D8C0E" w14:textId="77777777" w:rsidR="00830BCB" w:rsidRDefault="00830BCB" w:rsidP="00830BCB">
      <w:p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二、法院判决</w:t>
      </w:r>
    </w:p>
    <w:p w14:paraId="1842F990"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1945年9月，伦敦中央刑事法院仅用23分钟就以叛国罪判处乔伊斯死刑。他曾向英国当局谎称自己出生在爱尔兰，申请到英国护照，这成为他犯叛国罪的重要依据之一。乔伊斯提出上诉——他宣称自己不是英国公民。1940年9月，乔伊斯的确加入了德国籍。公诉人则指出，1937年，乔伊斯代表英国法西斯同盟参加伦敦郡议会选举时，曾手持英国护照并宣誓效忠。而且乔伊斯在1939年9月至1940年7月之间拥有英国护照，然而乔伊斯在那段时间已为纳粹德国服务。因此毫无疑问，他背叛了他的国家。被判有罪后，乔伊斯1946年1月3日被绞死。在得知他的遗言后，连他昔日的“忠实听众”都很难生出一丝一毫的同情之心。乔伊斯写道，即使面对死亡，我依然憎恨引起战争的犹太人，更憎恨他们代表的黑暗力量。</w:t>
      </w:r>
    </w:p>
    <w:p w14:paraId="5C6CC22F" w14:textId="77777777" w:rsidR="00830BCB" w:rsidRDefault="00830BCB" w:rsidP="00830BCB">
      <w:pPr>
        <w:spacing w:line="440" w:lineRule="exact"/>
        <w:ind w:firstLineChars="200" w:firstLine="480"/>
        <w:jc w:val="left"/>
        <w:rPr>
          <w:rFonts w:ascii="宋体" w:hAnsi="宋体" w:cs="宋体"/>
          <w:sz w:val="24"/>
          <w:szCs w:val="24"/>
        </w:rPr>
      </w:pPr>
      <w:r>
        <w:rPr>
          <w:rFonts w:ascii="宋体" w:hAnsi="宋体" w:cs="宋体" w:hint="eastAsia"/>
          <w:sz w:val="24"/>
          <w:szCs w:val="24"/>
        </w:rPr>
        <w:t>英国的“叛国罪”载于《1351年叛国罪法案》。原有法律中，“叛国罪”最高可判处死刑，不过，1998年对条文的修订废除了叛国罪的死刑，把最高刑罚改为终身监禁。乔伊斯“搬起石头砸自己的脚”，以一本骗来的护照，成了英国最后一名因叛国罪被处决的人。</w:t>
      </w:r>
    </w:p>
    <w:p w14:paraId="536259BE" w14:textId="77777777" w:rsidR="00830BCB" w:rsidRDefault="00830BCB" w:rsidP="00830BCB">
      <w:pPr>
        <w:spacing w:line="440" w:lineRule="exact"/>
        <w:rPr>
          <w:rFonts w:ascii="宋体" w:hAnsi="宋体" w:cs="宋体"/>
          <w:sz w:val="24"/>
          <w:szCs w:val="24"/>
          <w:lang w:eastAsia="zh-Hans"/>
        </w:rPr>
      </w:pPr>
    </w:p>
    <w:p w14:paraId="2350AF16" w14:textId="77777777" w:rsidR="00130AC8" w:rsidRPr="00830BCB" w:rsidRDefault="00130AC8"/>
    <w:sectPr w:rsidR="00130AC8" w:rsidRPr="00830BC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A917" w14:textId="77777777" w:rsidR="004B7A0A" w:rsidRDefault="004B7A0A" w:rsidP="00830BCB">
      <w:r>
        <w:separator/>
      </w:r>
    </w:p>
  </w:endnote>
  <w:endnote w:type="continuationSeparator" w:id="0">
    <w:p w14:paraId="56867FA4" w14:textId="77777777" w:rsidR="004B7A0A" w:rsidRDefault="004B7A0A" w:rsidP="0083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589F" w14:textId="77777777" w:rsidR="00830BCB" w:rsidRDefault="00830B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509290"/>
      <w:docPartObj>
        <w:docPartGallery w:val="Page Numbers (Bottom of Page)"/>
        <w:docPartUnique/>
      </w:docPartObj>
    </w:sdtPr>
    <w:sdtContent>
      <w:p w14:paraId="7408390C" w14:textId="51D36B68" w:rsidR="00830BCB" w:rsidRDefault="00830BCB">
        <w:pPr>
          <w:pStyle w:val="a5"/>
          <w:jc w:val="center"/>
        </w:pPr>
        <w:r>
          <w:fldChar w:fldCharType="begin"/>
        </w:r>
        <w:r>
          <w:instrText>PAGE   \* MERGEFORMAT</w:instrText>
        </w:r>
        <w:r>
          <w:fldChar w:fldCharType="separate"/>
        </w:r>
        <w:r>
          <w:rPr>
            <w:lang w:val="zh-CN"/>
          </w:rPr>
          <w:t>2</w:t>
        </w:r>
        <w:r>
          <w:fldChar w:fldCharType="end"/>
        </w:r>
      </w:p>
    </w:sdtContent>
  </w:sdt>
  <w:p w14:paraId="46D9F9D7" w14:textId="77777777" w:rsidR="00830BCB" w:rsidRDefault="00830B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AF2D" w14:textId="77777777" w:rsidR="00830BCB" w:rsidRDefault="00830B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B0D3" w14:textId="77777777" w:rsidR="004B7A0A" w:rsidRDefault="004B7A0A" w:rsidP="00830BCB">
      <w:r>
        <w:separator/>
      </w:r>
    </w:p>
  </w:footnote>
  <w:footnote w:type="continuationSeparator" w:id="0">
    <w:p w14:paraId="64D783B8" w14:textId="77777777" w:rsidR="004B7A0A" w:rsidRDefault="004B7A0A" w:rsidP="00830BCB">
      <w:r>
        <w:continuationSeparator/>
      </w:r>
    </w:p>
  </w:footnote>
  <w:footnote w:id="1">
    <w:p w14:paraId="7F19B19A" w14:textId="77777777" w:rsidR="00830BCB" w:rsidRDefault="00830BCB" w:rsidP="00830BCB">
      <w:pPr>
        <w:snapToGrid w:val="0"/>
        <w:jc w:val="left"/>
        <w:rPr>
          <w:sz w:val="18"/>
        </w:rPr>
      </w:pPr>
      <w:r>
        <w:rPr>
          <w:sz w:val="18"/>
          <w:vertAlign w:val="superscript"/>
        </w:rPr>
        <w:footnoteRef/>
      </w:r>
      <w:r>
        <w:rPr>
          <w:sz w:val="18"/>
        </w:rPr>
        <w:t xml:space="preserve"> </w:t>
      </w:r>
      <w:r>
        <w:rPr>
          <w:rFonts w:hint="eastAsia"/>
          <w:sz w:val="18"/>
        </w:rPr>
        <w:t>本案判决书第</w:t>
      </w:r>
      <w:r>
        <w:rPr>
          <w:rFonts w:hint="eastAsia"/>
          <w:sz w:val="18"/>
        </w:rPr>
        <w:t>68</w:t>
      </w:r>
      <w:r>
        <w:rPr>
          <w:rFonts w:hint="eastAsia"/>
          <w:sz w:val="18"/>
        </w:rPr>
        <w:t>段。</w:t>
      </w:r>
    </w:p>
  </w:footnote>
  <w:footnote w:id="2">
    <w:p w14:paraId="17BF4A26" w14:textId="77777777" w:rsidR="00830BCB" w:rsidRDefault="00830BCB" w:rsidP="00830BCB">
      <w:pPr>
        <w:snapToGrid w:val="0"/>
        <w:jc w:val="left"/>
        <w:rPr>
          <w:sz w:val="18"/>
        </w:rPr>
      </w:pPr>
      <w:r>
        <w:rPr>
          <w:sz w:val="18"/>
          <w:vertAlign w:val="superscript"/>
        </w:rPr>
        <w:footnoteRef/>
      </w:r>
      <w:r>
        <w:rPr>
          <w:sz w:val="18"/>
        </w:rPr>
        <w:t xml:space="preserve"> </w:t>
      </w:r>
      <w:r>
        <w:rPr>
          <w:rFonts w:hint="eastAsia"/>
          <w:sz w:val="18"/>
        </w:rPr>
        <w:t>转摘自邵沙平主编：《国际法院新近案例研究（</w:t>
      </w:r>
      <w:r>
        <w:rPr>
          <w:rFonts w:hint="eastAsia"/>
          <w:sz w:val="18"/>
        </w:rPr>
        <w:t>1990-2003</w:t>
      </w:r>
      <w:r>
        <w:rPr>
          <w:rFonts w:hint="eastAsia"/>
          <w:sz w:val="18"/>
        </w:rPr>
        <w:t>）》，商务印书馆</w:t>
      </w:r>
      <w:r>
        <w:rPr>
          <w:rFonts w:hint="eastAsia"/>
          <w:sz w:val="18"/>
        </w:rPr>
        <w:t>200</w:t>
      </w:r>
      <w:r>
        <w:rPr>
          <w:rFonts w:hint="eastAsia"/>
          <w:sz w:val="18"/>
        </w:rPr>
        <w:t>年版，第</w:t>
      </w:r>
      <w:r>
        <w:rPr>
          <w:rFonts w:hint="eastAsia"/>
          <w:sz w:val="18"/>
        </w:rPr>
        <w:t>140-171</w:t>
      </w:r>
      <w:r>
        <w:rPr>
          <w:rFonts w:hint="eastAsia"/>
          <w:sz w:val="18"/>
        </w:rPr>
        <w:t>页。</w:t>
      </w:r>
    </w:p>
  </w:footnote>
  <w:footnote w:id="3">
    <w:p w14:paraId="208C482F" w14:textId="77777777" w:rsidR="00830BCB" w:rsidRDefault="00830BCB" w:rsidP="00830BCB">
      <w:pPr>
        <w:snapToGrid w:val="0"/>
        <w:jc w:val="left"/>
        <w:rPr>
          <w:sz w:val="18"/>
        </w:rPr>
      </w:pPr>
      <w:r>
        <w:rPr>
          <w:sz w:val="18"/>
          <w:vertAlign w:val="superscript"/>
        </w:rPr>
        <w:footnoteRef/>
      </w:r>
      <w:r>
        <w:rPr>
          <w:sz w:val="18"/>
        </w:rPr>
        <w:t xml:space="preserve"> </w:t>
      </w:r>
      <w:r>
        <w:rPr>
          <w:rFonts w:hint="eastAsia"/>
          <w:sz w:val="18"/>
        </w:rPr>
        <w:t>关于这案例的详细背景情况，可查找国际刑事法院官方网址：</w:t>
      </w:r>
      <w:r>
        <w:rPr>
          <w:rFonts w:hint="eastAsia"/>
          <w:sz w:val="18"/>
        </w:rPr>
        <w:t>www.icc.org</w:t>
      </w:r>
      <w:r>
        <w:rPr>
          <w:rFonts w:hint="eastAsia"/>
          <w:sz w:val="18"/>
        </w:rPr>
        <w:t>。</w:t>
      </w:r>
    </w:p>
  </w:footnote>
  <w:footnote w:id="4">
    <w:p w14:paraId="40B9E547" w14:textId="77777777" w:rsidR="00830BCB" w:rsidRDefault="00830BCB" w:rsidP="00830BCB">
      <w:pPr>
        <w:jc w:val="left"/>
        <w:rPr>
          <w:sz w:val="18"/>
          <w:szCs w:val="24"/>
        </w:rPr>
      </w:pPr>
      <w:r>
        <w:rPr>
          <w:rFonts w:hint="eastAsia"/>
          <w:sz w:val="18"/>
          <w:szCs w:val="24"/>
        </w:rPr>
        <w:footnoteRef/>
      </w:r>
      <w:r>
        <w:rPr>
          <w:rFonts w:hint="eastAsia"/>
          <w:sz w:val="18"/>
          <w:szCs w:val="24"/>
        </w:rPr>
        <w:t xml:space="preserve"> http:/www.gsftyg.com/news/2017-04/06/c_1120758630.htm,</w:t>
      </w:r>
      <w:r>
        <w:rPr>
          <w:rFonts w:hint="eastAsia"/>
          <w:sz w:val="18"/>
          <w:szCs w:val="24"/>
        </w:rPr>
        <w:t>最后访问时间：</w:t>
      </w:r>
      <w:r>
        <w:rPr>
          <w:rFonts w:hint="eastAsia"/>
          <w:sz w:val="18"/>
          <w:szCs w:val="24"/>
        </w:rPr>
        <w:t>2017</w:t>
      </w:r>
      <w:r>
        <w:rPr>
          <w:rFonts w:hint="eastAsia"/>
          <w:sz w:val="18"/>
          <w:szCs w:val="24"/>
        </w:rPr>
        <w:t>年</w:t>
      </w:r>
      <w:r>
        <w:rPr>
          <w:rFonts w:hint="eastAsia"/>
          <w:sz w:val="18"/>
          <w:szCs w:val="24"/>
        </w:rPr>
        <w:t>9</w:t>
      </w:r>
      <w:r>
        <w:rPr>
          <w:rFonts w:hint="eastAsia"/>
          <w:sz w:val="18"/>
          <w:szCs w:val="24"/>
        </w:rPr>
        <w:t>月</w:t>
      </w:r>
      <w:r>
        <w:rPr>
          <w:rFonts w:hint="eastAsia"/>
          <w:sz w:val="18"/>
          <w:szCs w:val="24"/>
        </w:rPr>
        <w:t>10</w:t>
      </w:r>
      <w:r>
        <w:rPr>
          <w:rFonts w:hint="eastAsia"/>
          <w:sz w:val="18"/>
          <w:szCs w:val="24"/>
        </w:rPr>
        <w:t>日。</w:t>
      </w:r>
    </w:p>
  </w:footnote>
  <w:footnote w:id="5">
    <w:p w14:paraId="369DA318" w14:textId="77777777" w:rsidR="00830BCB" w:rsidRDefault="00830BCB" w:rsidP="00830BCB">
      <w:pPr>
        <w:jc w:val="left"/>
        <w:rPr>
          <w:sz w:val="18"/>
          <w:szCs w:val="24"/>
        </w:rPr>
      </w:pPr>
      <w:r>
        <w:rPr>
          <w:rFonts w:hint="eastAsia"/>
          <w:sz w:val="18"/>
          <w:szCs w:val="24"/>
        </w:rPr>
        <w:footnoteRef/>
      </w:r>
      <w:r>
        <w:rPr>
          <w:rFonts w:hint="eastAsia"/>
          <w:sz w:val="18"/>
          <w:szCs w:val="24"/>
        </w:rPr>
        <w:t xml:space="preserve"> </w:t>
      </w:r>
      <w:r>
        <w:rPr>
          <w:rFonts w:hint="eastAsia"/>
          <w:sz w:val="18"/>
          <w:szCs w:val="24"/>
        </w:rPr>
        <w:t>“叙利亚局势因化武袭击一触即发”，《联合早报》</w:t>
      </w:r>
      <w:r>
        <w:rPr>
          <w:rFonts w:hint="eastAsia"/>
          <w:sz w:val="18"/>
          <w:szCs w:val="24"/>
        </w:rPr>
        <w:t>2018</w:t>
      </w:r>
      <w:r>
        <w:rPr>
          <w:rFonts w:hint="eastAsia"/>
          <w:sz w:val="18"/>
          <w:szCs w:val="24"/>
        </w:rPr>
        <w:t>年</w:t>
      </w:r>
      <w:r>
        <w:rPr>
          <w:rFonts w:hint="eastAsia"/>
          <w:sz w:val="18"/>
          <w:szCs w:val="24"/>
        </w:rPr>
        <w:t>4</w:t>
      </w:r>
      <w:r>
        <w:rPr>
          <w:rFonts w:hint="eastAsia"/>
          <w:sz w:val="18"/>
          <w:szCs w:val="24"/>
        </w:rPr>
        <w:t>月</w:t>
      </w:r>
      <w:r>
        <w:rPr>
          <w:rFonts w:hint="eastAsia"/>
          <w:sz w:val="18"/>
          <w:szCs w:val="24"/>
        </w:rPr>
        <w:t>12</w:t>
      </w:r>
      <w:r>
        <w:rPr>
          <w:rFonts w:hint="eastAsia"/>
          <w:sz w:val="18"/>
          <w:szCs w:val="24"/>
        </w:rPr>
        <w:t>日，网址：</w:t>
      </w:r>
      <w:r>
        <w:rPr>
          <w:rFonts w:hint="eastAsia"/>
          <w:sz w:val="18"/>
          <w:szCs w:val="24"/>
        </w:rPr>
        <w:t>http:/ww.</w:t>
      </w:r>
    </w:p>
    <w:p w14:paraId="5886A270" w14:textId="77777777" w:rsidR="00830BCB" w:rsidRDefault="00830BCB" w:rsidP="00830BCB">
      <w:pPr>
        <w:jc w:val="left"/>
        <w:rPr>
          <w:sz w:val="18"/>
          <w:szCs w:val="24"/>
        </w:rPr>
      </w:pPr>
      <w:r>
        <w:rPr>
          <w:rFonts w:hint="eastAsia"/>
          <w:sz w:val="18"/>
          <w:szCs w:val="24"/>
        </w:rPr>
        <w:t>zaobao.com/news/world/story20180412-850079.</w:t>
      </w:r>
    </w:p>
    <w:p w14:paraId="401290E8" w14:textId="77777777" w:rsidR="00830BCB" w:rsidRDefault="00830BCB" w:rsidP="00830BCB">
      <w:pPr>
        <w:snapToGrid w:val="0"/>
        <w:jc w:val="left"/>
        <w:rPr>
          <w:sz w:val="18"/>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69C9" w14:textId="77777777" w:rsidR="00830BCB" w:rsidRDefault="00830B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A377" w14:textId="77777777" w:rsidR="00830BCB" w:rsidRDefault="00830B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6EA4" w14:textId="77777777" w:rsidR="00830BCB" w:rsidRDefault="00830B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AA"/>
    <w:rsid w:val="00130AC8"/>
    <w:rsid w:val="004B7A0A"/>
    <w:rsid w:val="00582FAA"/>
    <w:rsid w:val="00830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8895E5"/>
  <w15:chartTrackingRefBased/>
  <w15:docId w15:val="{40AC6D7A-74B1-4472-93C5-A97AE197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CB"/>
    <w:pPr>
      <w:widowControl w:val="0"/>
      <w:jc w:val="both"/>
    </w:pPr>
    <w:rPr>
      <w:rFonts w:ascii="Calibri" w:eastAsia="宋体" w:hAnsi="Calibri" w:cs="Times New Roman"/>
      <w:szCs w:val="21"/>
    </w:rPr>
  </w:style>
  <w:style w:type="paragraph" w:styleId="1">
    <w:name w:val="heading 1"/>
    <w:basedOn w:val="a"/>
    <w:next w:val="a"/>
    <w:link w:val="10"/>
    <w:uiPriority w:val="9"/>
    <w:qFormat/>
    <w:rsid w:val="00830BCB"/>
    <w:pPr>
      <w:keepNext/>
      <w:keepLines/>
      <w:spacing w:before="340" w:after="330" w:line="578" w:lineRule="auto"/>
      <w:jc w:val="center"/>
      <w:outlineLvl w:val="0"/>
    </w:pPr>
    <w:rPr>
      <w:rFonts w:ascii="等线" w:hAnsi="等线"/>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B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30BCB"/>
    <w:rPr>
      <w:sz w:val="18"/>
      <w:szCs w:val="18"/>
    </w:rPr>
  </w:style>
  <w:style w:type="paragraph" w:styleId="a5">
    <w:name w:val="footer"/>
    <w:basedOn w:val="a"/>
    <w:link w:val="a6"/>
    <w:uiPriority w:val="99"/>
    <w:unhideWhenUsed/>
    <w:rsid w:val="00830B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30BCB"/>
    <w:rPr>
      <w:sz w:val="18"/>
      <w:szCs w:val="18"/>
    </w:rPr>
  </w:style>
  <w:style w:type="character" w:customStyle="1" w:styleId="10">
    <w:name w:val="标题 1 字符"/>
    <w:basedOn w:val="a0"/>
    <w:link w:val="1"/>
    <w:uiPriority w:val="9"/>
    <w:qFormat/>
    <w:rsid w:val="00830BCB"/>
    <w:rPr>
      <w:rFonts w:ascii="等线" w:eastAsia="宋体" w:hAnsi="等线"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jingru feng</dc:creator>
  <cp:keywords/>
  <dc:description/>
  <cp:lastModifiedBy>jingru feng</cp:lastModifiedBy>
  <cp:revision>2</cp:revision>
  <dcterms:created xsi:type="dcterms:W3CDTF">2023-05-29T02:28:00Z</dcterms:created>
  <dcterms:modified xsi:type="dcterms:W3CDTF">2023-05-29T02:28:00Z</dcterms:modified>
</cp:coreProperties>
</file>