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9F9B" w14:textId="77777777" w:rsidR="00BE6715" w:rsidRDefault="00000000">
      <w:pPr>
        <w:jc w:val="center"/>
        <w:rPr>
          <w:b/>
          <w:sz w:val="44"/>
          <w:szCs w:val="44"/>
        </w:rPr>
      </w:pPr>
      <w:r>
        <w:rPr>
          <w:rFonts w:hint="eastAsia"/>
          <w:b/>
          <w:sz w:val="44"/>
          <w:szCs w:val="44"/>
        </w:rPr>
        <w:t>《会计思想史：发展、现状与展望》</w:t>
      </w:r>
    </w:p>
    <w:p w14:paraId="16B8E8A3" w14:textId="77777777" w:rsidR="00BE6715" w:rsidRDefault="00000000">
      <w:pPr>
        <w:jc w:val="center"/>
        <w:rPr>
          <w:b/>
          <w:sz w:val="44"/>
          <w:szCs w:val="44"/>
        </w:rPr>
      </w:pPr>
      <w:r>
        <w:rPr>
          <w:rFonts w:hint="eastAsia"/>
          <w:b/>
          <w:sz w:val="44"/>
          <w:szCs w:val="44"/>
        </w:rPr>
        <w:t>教学大纲</w:t>
      </w:r>
    </w:p>
    <w:p w14:paraId="60DFDE5B" w14:textId="77777777" w:rsidR="00BE6715" w:rsidRDefault="00000000">
      <w:pPr>
        <w:jc w:val="center"/>
      </w:pPr>
      <w:r>
        <w:rPr>
          <w:rFonts w:hint="eastAsia"/>
        </w:rPr>
        <w:t>(2023－2024年第1学期)</w:t>
      </w:r>
    </w:p>
    <w:p w14:paraId="21D36D76" w14:textId="77777777" w:rsidR="00BE6715" w:rsidRDefault="00BE6715">
      <w:pPr>
        <w:jc w:val="center"/>
      </w:pPr>
    </w:p>
    <w:p w14:paraId="192E8DF4" w14:textId="77777777" w:rsidR="00BE6715" w:rsidRDefault="00000000">
      <w:r>
        <w:rPr>
          <w:rFonts w:hint="eastAsia"/>
          <w:b/>
        </w:rPr>
        <w:t xml:space="preserve">课程：                    </w:t>
      </w:r>
      <w:r>
        <w:rPr>
          <w:rFonts w:hint="eastAsia"/>
        </w:rPr>
        <w:t>会计思想史：发展、现状与展望</w:t>
      </w:r>
    </w:p>
    <w:p w14:paraId="3C0B2E3C" w14:textId="77777777" w:rsidR="00BE6715" w:rsidRDefault="00000000">
      <w:r>
        <w:rPr>
          <w:rFonts w:hint="eastAsia"/>
          <w:b/>
          <w:bCs/>
        </w:rPr>
        <w:t>课程序号：</w:t>
      </w:r>
      <w:r>
        <w:rPr>
          <w:rFonts w:hint="eastAsia"/>
        </w:rPr>
        <w:tab/>
      </w:r>
      <w:r>
        <w:rPr>
          <w:rFonts w:hint="eastAsia"/>
        </w:rPr>
        <w:tab/>
      </w:r>
      <w:r>
        <w:rPr>
          <w:rFonts w:hint="eastAsia"/>
        </w:rPr>
        <w:tab/>
      </w:r>
      <w:r>
        <w:rPr>
          <w:rFonts w:hint="eastAsia"/>
        </w:rPr>
        <w:tab/>
        <w:t xml:space="preserve">  0036</w:t>
      </w:r>
    </w:p>
    <w:p w14:paraId="101FAD80" w14:textId="77777777" w:rsidR="00BE6715" w:rsidRDefault="00000000">
      <w:r>
        <w:rPr>
          <w:rFonts w:hint="eastAsia"/>
          <w:b/>
          <w:bCs/>
        </w:rPr>
        <w:t>课程代码：</w:t>
      </w:r>
      <w:r>
        <w:rPr>
          <w:rFonts w:hint="eastAsia"/>
        </w:rPr>
        <w:t xml:space="preserve">                105526</w:t>
      </w:r>
    </w:p>
    <w:p w14:paraId="480BF1DF" w14:textId="77777777" w:rsidR="00BE6715" w:rsidRDefault="00BE6715"/>
    <w:p w14:paraId="1B93DA0A" w14:textId="77777777" w:rsidR="00BE6715" w:rsidRDefault="00000000">
      <w:pPr>
        <w:rPr>
          <w:u w:val="single"/>
        </w:rPr>
      </w:pPr>
      <w:r>
        <w:rPr>
          <w:rFonts w:hint="eastAsia"/>
          <w:b/>
        </w:rPr>
        <w:t>授课教师：</w:t>
      </w:r>
      <w:r>
        <w:rPr>
          <w:rFonts w:hint="eastAsia"/>
        </w:rPr>
        <w:t xml:space="preserve">                陈信元、朱凯</w:t>
      </w:r>
    </w:p>
    <w:p w14:paraId="514D50F7" w14:textId="77777777" w:rsidR="00BE6715" w:rsidRDefault="00BE6715">
      <w:pPr>
        <w:rPr>
          <w:b/>
        </w:rPr>
      </w:pPr>
    </w:p>
    <w:p w14:paraId="660E577A" w14:textId="77777777" w:rsidR="00BE6715" w:rsidRDefault="00000000">
      <w:r>
        <w:rPr>
          <w:rFonts w:hint="eastAsia"/>
          <w:b/>
        </w:rPr>
        <w:t xml:space="preserve">课程类别：                </w:t>
      </w:r>
      <w:r>
        <w:rPr>
          <w:rFonts w:hint="eastAsia"/>
        </w:rPr>
        <w:t>通识模块一（经典阅读与历史文化传承）限选课</w:t>
      </w:r>
    </w:p>
    <w:p w14:paraId="3DF6F575" w14:textId="77777777" w:rsidR="00BE6715" w:rsidRDefault="00BE6715">
      <w:pPr>
        <w:rPr>
          <w:b/>
        </w:rPr>
      </w:pPr>
    </w:p>
    <w:p w14:paraId="16C79CE3" w14:textId="77777777" w:rsidR="00BE6715" w:rsidRDefault="00000000">
      <w:r>
        <w:rPr>
          <w:rFonts w:hint="eastAsia"/>
          <w:b/>
        </w:rPr>
        <w:t>课程安排说明：</w:t>
      </w:r>
      <w:r>
        <w:rPr>
          <w:rFonts w:hint="eastAsia"/>
        </w:rPr>
        <w:t xml:space="preserve">            2023年8月—2024年1月</w:t>
      </w:r>
    </w:p>
    <w:p w14:paraId="7B26EF44" w14:textId="77777777" w:rsidR="00BE6715" w:rsidRDefault="00000000">
      <w:r>
        <w:rPr>
          <w:rFonts w:hint="eastAsia"/>
        </w:rPr>
        <w:t xml:space="preserve">                          上课时间：周四上午8:00-9:40 </w:t>
      </w:r>
    </w:p>
    <w:p w14:paraId="1F81AEE0" w14:textId="77777777" w:rsidR="00BE6715" w:rsidRDefault="00000000">
      <w:pPr>
        <w:ind w:firstLineChars="1300" w:firstLine="3120"/>
      </w:pPr>
      <w:r>
        <w:rPr>
          <w:rFonts w:hint="eastAsia"/>
        </w:rPr>
        <w:t>授课地点：教技楼327</w:t>
      </w:r>
    </w:p>
    <w:p w14:paraId="4A2F9688" w14:textId="77777777" w:rsidR="00BE6715" w:rsidRDefault="00BE6715">
      <w:pPr>
        <w:rPr>
          <w:b/>
        </w:rPr>
      </w:pPr>
    </w:p>
    <w:p w14:paraId="27FE7CD5" w14:textId="77777777" w:rsidR="00BE6715" w:rsidRDefault="00000000">
      <w:pPr>
        <w:rPr>
          <w:b/>
        </w:rPr>
      </w:pPr>
      <w:r>
        <w:rPr>
          <w:rFonts w:hint="eastAsia"/>
          <w:b/>
        </w:rPr>
        <w:t>教学学时分配表：</w:t>
      </w:r>
    </w:p>
    <w:p w14:paraId="499BE133" w14:textId="77777777" w:rsidR="00BE6715" w:rsidRDefault="00BE6715">
      <w:pPr>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0"/>
        <w:gridCol w:w="1521"/>
        <w:gridCol w:w="1559"/>
        <w:gridCol w:w="1559"/>
      </w:tblGrid>
      <w:tr w:rsidR="00BE6715" w14:paraId="3A8C1C10" w14:textId="77777777">
        <w:tc>
          <w:tcPr>
            <w:tcW w:w="1420" w:type="dxa"/>
          </w:tcPr>
          <w:p w14:paraId="781E5F4D" w14:textId="77777777" w:rsidR="00BE6715" w:rsidRDefault="00000000">
            <w:pPr>
              <w:jc w:val="center"/>
            </w:pPr>
            <w:r>
              <w:rPr>
                <w:rFonts w:hint="eastAsia"/>
              </w:rPr>
              <w:t>学分</w:t>
            </w:r>
          </w:p>
        </w:tc>
        <w:tc>
          <w:tcPr>
            <w:tcW w:w="1420" w:type="dxa"/>
          </w:tcPr>
          <w:p w14:paraId="361D528D" w14:textId="77777777" w:rsidR="00BE6715" w:rsidRDefault="00000000">
            <w:pPr>
              <w:jc w:val="center"/>
            </w:pPr>
            <w:r>
              <w:rPr>
                <w:rFonts w:hint="eastAsia"/>
              </w:rPr>
              <w:t>总学时</w:t>
            </w:r>
          </w:p>
        </w:tc>
        <w:tc>
          <w:tcPr>
            <w:tcW w:w="1521" w:type="dxa"/>
          </w:tcPr>
          <w:p w14:paraId="1055AA8A" w14:textId="77777777" w:rsidR="00BE6715" w:rsidRDefault="00000000">
            <w:pPr>
              <w:jc w:val="center"/>
            </w:pPr>
            <w:r>
              <w:rPr>
                <w:rFonts w:hint="eastAsia"/>
              </w:rPr>
              <w:t>理论教学学时</w:t>
            </w:r>
          </w:p>
        </w:tc>
        <w:tc>
          <w:tcPr>
            <w:tcW w:w="1559" w:type="dxa"/>
          </w:tcPr>
          <w:p w14:paraId="25B61A35" w14:textId="77777777" w:rsidR="00BE6715" w:rsidRDefault="00000000">
            <w:pPr>
              <w:jc w:val="center"/>
            </w:pPr>
            <w:r>
              <w:rPr>
                <w:rFonts w:hint="eastAsia"/>
              </w:rPr>
              <w:t>实践教学学时</w:t>
            </w:r>
          </w:p>
        </w:tc>
        <w:tc>
          <w:tcPr>
            <w:tcW w:w="1559" w:type="dxa"/>
          </w:tcPr>
          <w:p w14:paraId="2D49E859" w14:textId="77777777" w:rsidR="00BE6715" w:rsidRDefault="00000000">
            <w:pPr>
              <w:jc w:val="center"/>
            </w:pPr>
            <w:r>
              <w:rPr>
                <w:rFonts w:hint="eastAsia"/>
              </w:rPr>
              <w:t>实验教学学时</w:t>
            </w:r>
          </w:p>
        </w:tc>
      </w:tr>
      <w:tr w:rsidR="00BE6715" w14:paraId="1E44B361" w14:textId="77777777">
        <w:tc>
          <w:tcPr>
            <w:tcW w:w="1420" w:type="dxa"/>
          </w:tcPr>
          <w:p w14:paraId="677F04AC" w14:textId="77777777" w:rsidR="00BE6715" w:rsidRDefault="00000000">
            <w:pPr>
              <w:jc w:val="center"/>
              <w:rPr>
                <w:i/>
              </w:rPr>
            </w:pPr>
            <m:oMathPara>
              <m:oMath>
                <m:r>
                  <w:rPr>
                    <w:rFonts w:ascii="Cambria Math" w:hAnsi="Cambria Math"/>
                  </w:rPr>
                  <m:t>2</m:t>
                </m:r>
              </m:oMath>
            </m:oMathPara>
          </w:p>
        </w:tc>
        <w:tc>
          <w:tcPr>
            <w:tcW w:w="1420" w:type="dxa"/>
          </w:tcPr>
          <w:p w14:paraId="65350E45" w14:textId="77777777" w:rsidR="00BE6715" w:rsidRDefault="00000000">
            <w:pPr>
              <w:jc w:val="center"/>
            </w:pPr>
            <m:oMathPara>
              <m:oMath>
                <m:r>
                  <w:rPr>
                    <w:rFonts w:ascii="Cambria Math" w:hAnsi="Cambria Math"/>
                  </w:rPr>
                  <m:t>32</m:t>
                </m:r>
              </m:oMath>
            </m:oMathPara>
          </w:p>
        </w:tc>
        <w:tc>
          <w:tcPr>
            <w:tcW w:w="1521" w:type="dxa"/>
          </w:tcPr>
          <w:p w14:paraId="261820DC" w14:textId="77777777" w:rsidR="00BE6715" w:rsidRDefault="00000000">
            <w:pPr>
              <w:jc w:val="center"/>
              <w:rPr>
                <w:i/>
              </w:rPr>
            </w:pPr>
            <m:oMathPara>
              <m:oMath>
                <m:r>
                  <w:rPr>
                    <w:rFonts w:ascii="Cambria Math" w:hAnsi="Cambria Math"/>
                  </w:rPr>
                  <m:t>32</m:t>
                </m:r>
              </m:oMath>
            </m:oMathPara>
          </w:p>
        </w:tc>
        <w:tc>
          <w:tcPr>
            <w:tcW w:w="1559" w:type="dxa"/>
          </w:tcPr>
          <w:p w14:paraId="16D44C9E" w14:textId="77777777" w:rsidR="00BE6715" w:rsidRDefault="00000000">
            <w:pPr>
              <w:jc w:val="center"/>
              <w:rPr>
                <w:i/>
              </w:rPr>
            </w:pPr>
            <m:oMathPara>
              <m:oMath>
                <m:r>
                  <w:rPr>
                    <w:rFonts w:ascii="Cambria Math" w:hAnsi="Cambria Math"/>
                  </w:rPr>
                  <m:t>0</m:t>
                </m:r>
              </m:oMath>
            </m:oMathPara>
          </w:p>
        </w:tc>
        <w:tc>
          <w:tcPr>
            <w:tcW w:w="1559" w:type="dxa"/>
          </w:tcPr>
          <w:p w14:paraId="759E3DA4" w14:textId="77777777" w:rsidR="00BE6715" w:rsidRDefault="00000000">
            <w:pPr>
              <w:jc w:val="center"/>
              <w:rPr>
                <w:i/>
              </w:rPr>
            </w:pPr>
            <m:oMathPara>
              <m:oMath>
                <m:r>
                  <w:rPr>
                    <w:rFonts w:ascii="Cambria Math" w:hAnsi="Cambria Math"/>
                  </w:rPr>
                  <m:t>0</m:t>
                </m:r>
              </m:oMath>
            </m:oMathPara>
          </w:p>
        </w:tc>
      </w:tr>
    </w:tbl>
    <w:p w14:paraId="2551A070" w14:textId="77777777" w:rsidR="00BE6715" w:rsidRDefault="00BE6715">
      <w:pPr>
        <w:rPr>
          <w:color w:val="FF0000"/>
        </w:rPr>
      </w:pPr>
    </w:p>
    <w:p w14:paraId="71AE0D48" w14:textId="77777777" w:rsidR="00BE6715" w:rsidRDefault="00BE6715">
      <w:pPr>
        <w:rPr>
          <w:b/>
        </w:rPr>
      </w:pPr>
    </w:p>
    <w:p w14:paraId="449043A7" w14:textId="77777777" w:rsidR="00BE6715" w:rsidRDefault="00000000">
      <w:r>
        <w:rPr>
          <w:rFonts w:hint="eastAsia"/>
          <w:b/>
        </w:rPr>
        <w:t>课件网址：</w:t>
      </w:r>
      <w:r>
        <w:rPr>
          <w:rFonts w:hint="eastAsia"/>
        </w:rPr>
        <w:t xml:space="preserve">               </w:t>
      </w:r>
      <w:r>
        <w:rPr>
          <w:rFonts w:hint="eastAsia"/>
          <w:u w:val="single"/>
        </w:rPr>
        <w:t>https://canvas.shufe.edu.cn/courses/19827</w:t>
      </w:r>
      <w:r>
        <w:rPr>
          <w:rFonts w:hint="eastAsia"/>
        </w:rPr>
        <w:t xml:space="preserve"> </w:t>
      </w:r>
    </w:p>
    <w:p w14:paraId="3B48E3B6" w14:textId="77777777" w:rsidR="00BE6715" w:rsidRDefault="00BE6715"/>
    <w:p w14:paraId="2DED1D9C" w14:textId="77777777" w:rsidR="00BE6715" w:rsidRDefault="00000000">
      <w:pPr>
        <w:rPr>
          <w:b/>
        </w:rPr>
      </w:pPr>
      <w:r>
        <w:rPr>
          <w:rFonts w:hint="eastAsia"/>
          <w:b/>
        </w:rPr>
        <w:t>教材和参考书目：</w:t>
      </w:r>
    </w:p>
    <w:p w14:paraId="17126DBC" w14:textId="77777777" w:rsidR="00BE6715" w:rsidRDefault="00000000">
      <w:pPr>
        <w:ind w:firstLine="435"/>
        <w:rPr>
          <w:szCs w:val="21"/>
        </w:rPr>
      </w:pPr>
      <w:r>
        <w:rPr>
          <w:rFonts w:hint="eastAsia"/>
        </w:rPr>
        <w:t>指定教材：《会计思想史》，978-7-5429-5242-4，迈克尔·查特菲尔德，立信会计出版社</w:t>
      </w:r>
    </w:p>
    <w:p w14:paraId="58DC0DE1" w14:textId="77777777" w:rsidR="00BE6715" w:rsidRDefault="00BE6715"/>
    <w:p w14:paraId="5DBC28AA" w14:textId="77777777" w:rsidR="00BE6715" w:rsidRDefault="00000000">
      <w:pPr>
        <w:rPr>
          <w:color w:val="FF0000"/>
        </w:rPr>
      </w:pPr>
      <w:r>
        <w:rPr>
          <w:b/>
        </w:rPr>
        <w:t>课程达成目标：</w:t>
      </w:r>
    </w:p>
    <w:p w14:paraId="117746BE" w14:textId="77777777" w:rsidR="00BE6715" w:rsidRDefault="00000000">
      <w:pPr>
        <w:spacing w:line="360" w:lineRule="auto"/>
        <w:ind w:firstLineChars="200" w:firstLine="480"/>
        <w:rPr>
          <w:bCs/>
        </w:rPr>
      </w:pPr>
      <w:r>
        <w:rPr>
          <w:rFonts w:hint="eastAsia"/>
          <w:bCs/>
        </w:rPr>
        <w:t>本课程旨在通过对中、西方会计思想史类优秀教材的阅读与学习，在了解中、西方会计理论发展历程的同时，加强对会计专业的了解与认识，培养具备高尚的人文素养、健康的身心体魄和高度的社会责任感；具有法律意识，能够遵纪守法，对社会事件、经济事件具有一定的判断鉴别能力的财会专业人才。</w:t>
      </w:r>
    </w:p>
    <w:p w14:paraId="661BB0A6" w14:textId="77777777" w:rsidR="00BE6715" w:rsidRDefault="00BE6715">
      <w:pPr>
        <w:tabs>
          <w:tab w:val="left" w:pos="3610"/>
        </w:tabs>
        <w:ind w:firstLineChars="200" w:firstLine="480"/>
      </w:pPr>
    </w:p>
    <w:p w14:paraId="2697EA37" w14:textId="77777777" w:rsidR="00BE6715" w:rsidRDefault="00000000">
      <w:pPr>
        <w:rPr>
          <w:color w:val="FF0000"/>
        </w:rPr>
      </w:pPr>
      <w:r>
        <w:rPr>
          <w:b/>
        </w:rPr>
        <w:t>课程设置能力要求</w:t>
      </w:r>
      <w:r>
        <w:t>：</w:t>
      </w:r>
    </w:p>
    <w:p w14:paraId="2793619C" w14:textId="77777777" w:rsidR="00BE6715" w:rsidRDefault="00000000">
      <w:pPr>
        <w:spacing w:line="360" w:lineRule="auto"/>
        <w:ind w:firstLineChars="200" w:firstLine="440"/>
        <w:rPr>
          <w:sz w:val="22"/>
          <w:szCs w:val="22"/>
        </w:rPr>
      </w:pPr>
      <w:r>
        <w:rPr>
          <w:rFonts w:hint="eastAsia"/>
          <w:sz w:val="22"/>
          <w:szCs w:val="22"/>
        </w:rPr>
        <w:t>本课程主要向学生们介绍中外会计思想发展的历程、研究的现状以及未来的展望。从改革开放以来的中国会计研究发展历程开始学习，逐步探索、了解新经济环境</w:t>
      </w:r>
      <w:r>
        <w:rPr>
          <w:rFonts w:hint="eastAsia"/>
          <w:sz w:val="22"/>
          <w:szCs w:val="22"/>
        </w:rPr>
        <w:lastRenderedPageBreak/>
        <w:t>下会计行业的发展和挑战。同时通过对会计简史、会计思想史和资本市场会计研究导论的学习，掌握会计学科的思想发展与变迁历程以及其中蕴含的逻辑和原理。</w:t>
      </w:r>
    </w:p>
    <w:p w14:paraId="614B5BEE" w14:textId="77777777" w:rsidR="00BE6715" w:rsidRDefault="00000000">
      <w:pPr>
        <w:spacing w:line="360" w:lineRule="auto"/>
        <w:ind w:firstLineChars="200" w:firstLine="480"/>
        <w:rPr>
          <w:bCs/>
        </w:rPr>
      </w:pPr>
      <w:r>
        <w:rPr>
          <w:rFonts w:hint="eastAsia"/>
          <w:bCs/>
        </w:rPr>
        <w:t>本课程的目的在于增强学生对会计发展与经济环境的理解，帮助深化对会计专业知识的掌握。通过课程论文的撰写，考核学生对于会计思想史发展历程的了解程度。</w:t>
      </w:r>
    </w:p>
    <w:p w14:paraId="2E5CFD73" w14:textId="77777777" w:rsidR="00BE6715" w:rsidRDefault="00BE6715">
      <w:pPr>
        <w:tabs>
          <w:tab w:val="left" w:pos="3610"/>
        </w:tabs>
        <w:rPr>
          <w:sz w:val="22"/>
          <w:szCs w:val="22"/>
        </w:rPr>
      </w:pPr>
    </w:p>
    <w:p w14:paraId="542E6052" w14:textId="77777777" w:rsidR="00BE6715" w:rsidRDefault="00000000">
      <w:pPr>
        <w:tabs>
          <w:tab w:val="left" w:pos="3610"/>
        </w:tabs>
        <w:rPr>
          <w:b/>
        </w:rPr>
      </w:pPr>
      <w:r>
        <w:rPr>
          <w:rFonts w:hint="eastAsia"/>
          <w:b/>
        </w:rPr>
        <w:t>考核形式：</w:t>
      </w:r>
    </w:p>
    <w:p w14:paraId="3A15E2B3" w14:textId="77777777" w:rsidR="00BE6715" w:rsidRDefault="00000000">
      <w:pPr>
        <w:tabs>
          <w:tab w:val="left" w:pos="459"/>
        </w:tabs>
      </w:pPr>
      <w:r>
        <w:tab/>
      </w:r>
      <w:r>
        <w:rPr>
          <w:rFonts w:hint="eastAsia"/>
        </w:rPr>
        <w:t>期末</w:t>
      </w:r>
      <w:r>
        <w:t>考试采用</w:t>
      </w:r>
      <w:r>
        <w:rPr>
          <w:rFonts w:hint="eastAsia"/>
        </w:rPr>
        <w:t>论文考核</w:t>
      </w:r>
      <w:r>
        <w:t>方式</w:t>
      </w:r>
      <w:r>
        <w:rPr>
          <w:rFonts w:hint="eastAsia"/>
        </w:rPr>
        <w:t>，学生的最后的总分计算方法如下：</w:t>
      </w:r>
    </w:p>
    <w:p w14:paraId="1C4C804F" w14:textId="77777777" w:rsidR="00BE6715" w:rsidRDefault="00000000">
      <w:pPr>
        <w:tabs>
          <w:tab w:val="left" w:pos="3610"/>
        </w:tabs>
        <w:ind w:firstLine="435"/>
      </w:pPr>
      <w:r>
        <w:rPr>
          <w:rFonts w:hint="eastAsia"/>
        </w:rPr>
        <w:t>考    勤                           10%</w:t>
      </w:r>
    </w:p>
    <w:p w14:paraId="1F931A69" w14:textId="77777777" w:rsidR="00BE6715" w:rsidRDefault="00000000">
      <w:pPr>
        <w:tabs>
          <w:tab w:val="left" w:pos="3610"/>
        </w:tabs>
        <w:ind w:firstLine="435"/>
      </w:pPr>
      <w:r>
        <w:rPr>
          <w:rFonts w:hint="eastAsia"/>
        </w:rPr>
        <w:t>课堂参与                           20%</w:t>
      </w:r>
    </w:p>
    <w:p w14:paraId="4E5F5EFC" w14:textId="77777777" w:rsidR="00BE6715" w:rsidRDefault="00000000">
      <w:pPr>
        <w:tabs>
          <w:tab w:val="left" w:pos="3610"/>
        </w:tabs>
        <w:ind w:firstLineChars="200" w:firstLine="480"/>
      </w:pPr>
      <w:r>
        <w:rPr>
          <w:rFonts w:hint="eastAsia"/>
        </w:rPr>
        <w:t xml:space="preserve">期末论文  </w:t>
      </w:r>
      <w:r>
        <w:t xml:space="preserve"> </w:t>
      </w:r>
      <w:r>
        <w:rPr>
          <w:rFonts w:hint="eastAsia"/>
        </w:rPr>
        <w:t xml:space="preserve">                        70%</w:t>
      </w:r>
    </w:p>
    <w:p w14:paraId="444BE529" w14:textId="77777777" w:rsidR="00BE6715" w:rsidRDefault="00BE6715">
      <w:pPr>
        <w:tabs>
          <w:tab w:val="left" w:pos="3610"/>
        </w:tabs>
      </w:pPr>
    </w:p>
    <w:p w14:paraId="1D0C2004" w14:textId="77777777" w:rsidR="00BE6715" w:rsidRDefault="00000000">
      <w:pPr>
        <w:tabs>
          <w:tab w:val="left" w:pos="3610"/>
        </w:tabs>
        <w:rPr>
          <w:b/>
        </w:rPr>
      </w:pPr>
      <w:r>
        <w:rPr>
          <w:rFonts w:hint="eastAsia"/>
          <w:b/>
        </w:rPr>
        <w:t>学术诚实</w:t>
      </w:r>
    </w:p>
    <w:p w14:paraId="2A7E0B08" w14:textId="77777777" w:rsidR="00BE6715" w:rsidRDefault="00000000">
      <w:pPr>
        <w:tabs>
          <w:tab w:val="left" w:pos="3610"/>
        </w:tabs>
      </w:pPr>
      <w:r>
        <w:rPr>
          <w:rFonts w:hint="eastAsia"/>
        </w:rPr>
        <w:t xml:space="preserve">    涉及学生的学术不诚实问题主要包括考试作弊；抄袭；伪造或不当使用在校学习成绩；未经老师允许获取、利用考试材料。对于学术不诚实的最低惩罚是考试给予0分。其它的惩罚包括报告学校相关部门并按照有关规定进行处理。</w:t>
      </w:r>
    </w:p>
    <w:p w14:paraId="28A224A4" w14:textId="77777777" w:rsidR="00BE6715" w:rsidRDefault="00000000">
      <w:r>
        <w:br w:type="page"/>
      </w:r>
    </w:p>
    <w:p w14:paraId="2511CB75" w14:textId="77777777" w:rsidR="00BE6715" w:rsidRDefault="00000000">
      <w:pPr>
        <w:jc w:val="center"/>
        <w:rPr>
          <w:b/>
          <w:sz w:val="44"/>
          <w:szCs w:val="44"/>
        </w:rPr>
      </w:pPr>
      <w:r>
        <w:rPr>
          <w:rFonts w:hint="eastAsia"/>
          <w:b/>
          <w:sz w:val="44"/>
          <w:szCs w:val="44"/>
        </w:rPr>
        <w:lastRenderedPageBreak/>
        <w:t>《会计思想史：发展、现状与展望》</w:t>
      </w:r>
    </w:p>
    <w:p w14:paraId="4F185E02" w14:textId="77777777" w:rsidR="00BE6715" w:rsidRDefault="00000000">
      <w:pPr>
        <w:tabs>
          <w:tab w:val="left" w:pos="3610"/>
        </w:tabs>
        <w:jc w:val="center"/>
        <w:rPr>
          <w:rFonts w:ascii="微软雅黑" w:hAnsi="微软雅黑" w:cs="微软雅黑"/>
          <w:b/>
          <w:bCs/>
          <w:sz w:val="40"/>
          <w:szCs w:val="48"/>
        </w:rPr>
      </w:pPr>
      <w:r>
        <w:rPr>
          <w:rFonts w:hint="eastAsia"/>
          <w:b/>
          <w:sz w:val="44"/>
          <w:szCs w:val="44"/>
        </w:rPr>
        <w:t>教学方案</w:t>
      </w:r>
    </w:p>
    <w:p w14:paraId="155DAED6" w14:textId="77777777" w:rsidR="00BE6715" w:rsidRDefault="00000000">
      <w:pPr>
        <w:spacing w:line="360" w:lineRule="auto"/>
        <w:ind w:firstLine="480"/>
        <w:rPr>
          <w:b/>
          <w:bCs/>
          <w:sz w:val="22"/>
          <w:szCs w:val="22"/>
        </w:rPr>
      </w:pPr>
      <w:r>
        <w:rPr>
          <w:b/>
          <w:bCs/>
          <w:kern w:val="2"/>
          <w:sz w:val="22"/>
          <w:szCs w:val="22"/>
        </w:rPr>
        <w:t>第一部分 导论 （4课时）</w:t>
      </w:r>
    </w:p>
    <w:p w14:paraId="2A0DDCA0" w14:textId="45C3C8C4" w:rsidR="00EE6EFC" w:rsidRPr="00EE6EFC" w:rsidRDefault="00EE6EFC" w:rsidP="00EE6EFC">
      <w:pPr>
        <w:widowControl w:val="0"/>
        <w:tabs>
          <w:tab w:val="num" w:pos="720"/>
        </w:tabs>
        <w:spacing w:line="360" w:lineRule="auto"/>
        <w:ind w:firstLine="480"/>
        <w:jc w:val="both"/>
        <w:rPr>
          <w:sz w:val="22"/>
          <w:szCs w:val="22"/>
        </w:rPr>
      </w:pPr>
      <w:r w:rsidRPr="00740062">
        <w:rPr>
          <w:rFonts w:hint="eastAsia"/>
          <w:b/>
          <w:bCs/>
          <w:sz w:val="22"/>
          <w:szCs w:val="22"/>
        </w:rPr>
        <w:t>教学</w:t>
      </w:r>
      <w:r w:rsidRPr="00EE6EFC">
        <w:rPr>
          <w:b/>
          <w:bCs/>
          <w:sz w:val="22"/>
          <w:szCs w:val="22"/>
        </w:rPr>
        <w:t>目标</w:t>
      </w:r>
      <w:r>
        <w:rPr>
          <w:rFonts w:hint="eastAsia"/>
          <w:sz w:val="22"/>
          <w:szCs w:val="22"/>
        </w:rPr>
        <w:t>：（1）</w:t>
      </w:r>
      <w:r w:rsidRPr="00EE6EFC">
        <w:rPr>
          <w:sz w:val="22"/>
          <w:szCs w:val="22"/>
        </w:rPr>
        <w:t>了解改革开放后中国会计准则的主要阶段与关键节点（1992企业会计准则体系起步、1998制度化推进、2006新准则趋同IFRS、后续收入/金融工具/租赁等专题准则更新）。</w:t>
      </w:r>
      <w:r>
        <w:rPr>
          <w:rFonts w:hint="eastAsia"/>
          <w:sz w:val="22"/>
          <w:szCs w:val="22"/>
        </w:rPr>
        <w:t>（2）</w:t>
      </w:r>
      <w:r w:rsidRPr="00EE6EFC">
        <w:rPr>
          <w:sz w:val="22"/>
          <w:szCs w:val="22"/>
        </w:rPr>
        <w:t>掌握数字化技术（云计算、大数据、区块链、RPA/AI）对会计确认、计量、记录、披露与审计的影响机理与典型应用场景。</w:t>
      </w:r>
      <w:r>
        <w:rPr>
          <w:rFonts w:hint="eastAsia"/>
          <w:sz w:val="22"/>
          <w:szCs w:val="22"/>
        </w:rPr>
        <w:t>（3）</w:t>
      </w:r>
      <w:r w:rsidRPr="00EE6EFC">
        <w:rPr>
          <w:sz w:val="22"/>
          <w:szCs w:val="22"/>
        </w:rPr>
        <w:t>理解ESG/可持续报告的兴起逻辑、国际基准（GRI、SASB、TCFD、ISSB IFRS S1/S2）与中国本土政策动向。</w:t>
      </w:r>
      <w:r>
        <w:rPr>
          <w:rFonts w:hint="eastAsia"/>
          <w:sz w:val="22"/>
          <w:szCs w:val="22"/>
        </w:rPr>
        <w:t>（3）</w:t>
      </w:r>
      <w:r w:rsidRPr="00EE6EFC">
        <w:rPr>
          <w:sz w:val="22"/>
          <w:szCs w:val="22"/>
        </w:rPr>
        <w:t>认识全球化与跨境监管合作对会计信息质量、可比性与可执行性的促进机制。</w:t>
      </w:r>
    </w:p>
    <w:p w14:paraId="083D5EC4" w14:textId="4033670B" w:rsidR="00740062" w:rsidRPr="00740062" w:rsidRDefault="00000000" w:rsidP="00740062">
      <w:pPr>
        <w:spacing w:line="360" w:lineRule="auto"/>
        <w:ind w:firstLine="480"/>
        <w:rPr>
          <w:sz w:val="22"/>
          <w:szCs w:val="22"/>
        </w:rPr>
      </w:pPr>
      <w:r w:rsidRPr="00740062">
        <w:rPr>
          <w:b/>
          <w:bCs/>
          <w:kern w:val="2"/>
          <w:sz w:val="22"/>
          <w:szCs w:val="22"/>
        </w:rPr>
        <w:t>主要内容</w:t>
      </w:r>
      <w:r>
        <w:rPr>
          <w:kern w:val="2"/>
          <w:sz w:val="22"/>
          <w:szCs w:val="22"/>
        </w:rPr>
        <w:t>：</w:t>
      </w:r>
      <w:r w:rsidR="00740062" w:rsidRPr="00740062">
        <w:rPr>
          <w:rFonts w:hint="eastAsia"/>
          <w:sz w:val="22"/>
          <w:szCs w:val="22"/>
        </w:rPr>
        <w:t>改革开放以来，中国会计研究的演进可概括为“准则国际化—数字化转型—可持续治理—全球化协同”的耦合进程。制度层面，2006年新会计准则确立了与IFRS“基本趋同”的框架，收入确认、公允价值、金融工具等专题与国际规则显著对齐，同时在法律环境、税制与证据获取等环节做本土化适配，形成“趋同中的差异”。这一转变提升了报表可比性与信息透明度，促进分析师覆盖与跨境融资，也将盈余管理的博弈重心由应计调节转向真实活动与模型假设，推动监管与审计更强调估计不确定性与专业判断的可证性。</w:t>
      </w:r>
    </w:p>
    <w:p w14:paraId="1FF2856C" w14:textId="0F04F0C2" w:rsidR="00740062" w:rsidRPr="00740062" w:rsidRDefault="00740062" w:rsidP="00740062">
      <w:pPr>
        <w:spacing w:line="360" w:lineRule="auto"/>
        <w:ind w:firstLine="480"/>
        <w:rPr>
          <w:sz w:val="22"/>
          <w:szCs w:val="22"/>
        </w:rPr>
      </w:pPr>
      <w:r w:rsidRPr="00740062">
        <w:rPr>
          <w:rFonts w:hint="eastAsia"/>
          <w:sz w:val="22"/>
          <w:szCs w:val="22"/>
        </w:rPr>
        <w:t>技术层面，云计算使会计系统由本地部署转向平台化服务，显著压缩结账与合并周期，支撑多主体、多币种的并行处理；相应地，访问控制、日志审计、变更管理与数据主权合规成为内控新枢纽。大数据与预测分析在ECL估计、存货减值与现金流预测中引入多源数据与前瞻因子，提升计量的敏感性与稳健性，同时要求模型治理、漂移监测与可解释性以满足审计采信。人工智能将RPA与NLP嵌入凭证处理、合同要点抽取与异常检测，实现从抽样到近全量的持续审计，但也带来训练数据质量、算法偏差与证据可复核的治理挑战。区块链在供应链票据与存证溯源中提升可追溯与防篡改能力，其经济性与标准互操作性仍需情境评估。</w:t>
      </w:r>
    </w:p>
    <w:p w14:paraId="35F536B5" w14:textId="77777777" w:rsidR="00740062" w:rsidRPr="00740062" w:rsidRDefault="00740062" w:rsidP="00740062">
      <w:pPr>
        <w:spacing w:line="360" w:lineRule="auto"/>
        <w:ind w:firstLine="480"/>
        <w:rPr>
          <w:rFonts w:hint="eastAsia"/>
          <w:sz w:val="22"/>
          <w:szCs w:val="22"/>
        </w:rPr>
      </w:pPr>
      <w:r w:rsidRPr="00740062">
        <w:rPr>
          <w:rFonts w:hint="eastAsia"/>
          <w:sz w:val="22"/>
          <w:szCs w:val="22"/>
        </w:rPr>
        <w:t>可持续发展成为会计思想的新支点。ESG报告从自愿披露走向体系化，与GRI、SASB、TCFD到ISSB IFRS S1/S2等框架逐步接轨，国内交易所与监管指引同步完善。企业围绕双重重要性开展指标选择与数据治理，碳核算按Scope 1/2/3构建活动数据与排放因子体系，并引入有限或合理保证的鉴证实践。气候与环境风险通过资产减</w:t>
      </w:r>
      <w:r w:rsidRPr="00740062">
        <w:rPr>
          <w:rFonts w:hint="eastAsia"/>
          <w:sz w:val="22"/>
          <w:szCs w:val="22"/>
        </w:rPr>
        <w:lastRenderedPageBreak/>
        <w:t>值、使用年限、贴现率与资本开支等渠道传导至财务报表，“财务—可持续”连接逐渐从叙述走向量化。</w:t>
      </w:r>
    </w:p>
    <w:p w14:paraId="45CFCE84" w14:textId="4B94FB32" w:rsidR="00BE6715" w:rsidRPr="00740062" w:rsidRDefault="00740062">
      <w:pPr>
        <w:spacing w:line="360" w:lineRule="auto"/>
        <w:ind w:firstLine="480"/>
        <w:rPr>
          <w:sz w:val="22"/>
          <w:szCs w:val="22"/>
        </w:rPr>
      </w:pPr>
      <w:r w:rsidRPr="00740062">
        <w:rPr>
          <w:rFonts w:hint="eastAsia"/>
          <w:sz w:val="22"/>
          <w:szCs w:val="22"/>
        </w:rPr>
        <w:t>在全球化背景下，会计信息质量的提升依赖监管协同与执法互认。跨境监管合作、审计底稿检查安排与信息共享机制强化了执法可预期性与惩戒力度，提升审计独立性与证据可得性；同时，数据跨境流动的分区存储、脱敏与境内备份等合规路径，为跨境审计与信息互联提供制度保障。总体而言，中国会计在制度趋同、技术赋能与可持续治理三者共振中，完成了从规范移植到本土化运营、从静态核算到动态洞察、从单一财务到综合披露的范式转换。</w:t>
      </w:r>
    </w:p>
    <w:p w14:paraId="10E0C050" w14:textId="3BEE6065" w:rsidR="00EE6EFC" w:rsidRPr="00EE6EFC" w:rsidRDefault="00EE6EFC" w:rsidP="00EE6EFC">
      <w:pPr>
        <w:spacing w:line="360" w:lineRule="auto"/>
        <w:ind w:firstLine="480"/>
        <w:rPr>
          <w:rFonts w:hint="eastAsia"/>
          <w:sz w:val="22"/>
          <w:szCs w:val="22"/>
        </w:rPr>
      </w:pPr>
      <w:r w:rsidRPr="00740062">
        <w:rPr>
          <w:rFonts w:hint="eastAsia"/>
          <w:b/>
          <w:bCs/>
          <w:sz w:val="22"/>
          <w:szCs w:val="22"/>
        </w:rPr>
        <w:t>重点难点</w:t>
      </w:r>
      <w:r>
        <w:rPr>
          <w:rFonts w:hint="eastAsia"/>
          <w:sz w:val="22"/>
          <w:szCs w:val="22"/>
        </w:rPr>
        <w:t>：（1）</w:t>
      </w:r>
      <w:r w:rsidRPr="00EE6EFC">
        <w:rPr>
          <w:rFonts w:hint="eastAsia"/>
          <w:sz w:val="22"/>
          <w:szCs w:val="22"/>
        </w:rPr>
        <w:t>2006年新会计准则与IFRS趋同的实质与边界，及其对资本市场的影响（相关性、可比性、成本收益权衡）。</w:t>
      </w:r>
      <w:r>
        <w:rPr>
          <w:rFonts w:hint="eastAsia"/>
          <w:sz w:val="22"/>
          <w:szCs w:val="22"/>
        </w:rPr>
        <w:t>（2）</w:t>
      </w:r>
      <w:r w:rsidRPr="00EE6EFC">
        <w:rPr>
          <w:rFonts w:hint="eastAsia"/>
          <w:sz w:val="22"/>
          <w:szCs w:val="22"/>
        </w:rPr>
        <w:t>数字技术赋能会计的具体机制：从数据采集—处理—分析—控制—披露—审计的全链条变革。</w:t>
      </w:r>
      <w:r>
        <w:rPr>
          <w:rFonts w:hint="eastAsia"/>
          <w:sz w:val="22"/>
          <w:szCs w:val="22"/>
        </w:rPr>
        <w:t>（3）</w:t>
      </w:r>
      <w:r w:rsidRPr="00EE6EFC">
        <w:rPr>
          <w:rFonts w:hint="eastAsia"/>
          <w:sz w:val="22"/>
          <w:szCs w:val="22"/>
        </w:rPr>
        <w:t>ESG报告与财务信息的“连接点”：财务重要性与影响重要性（double materiality）的关系与披露体系对接</w:t>
      </w:r>
      <w:r>
        <w:rPr>
          <w:rFonts w:hint="eastAsia"/>
          <w:sz w:val="22"/>
          <w:szCs w:val="22"/>
        </w:rPr>
        <w:t>。（4）</w:t>
      </w:r>
      <w:r w:rsidRPr="00EE6EFC">
        <w:rPr>
          <w:rFonts w:hint="eastAsia"/>
          <w:sz w:val="22"/>
          <w:szCs w:val="22"/>
        </w:rPr>
        <w:t>在本土制度环境中实现“趋同”与“适配”的平衡（税会差异、监管节奏、民商法基础）。</w:t>
      </w:r>
    </w:p>
    <w:p w14:paraId="45BE071B" w14:textId="77777777" w:rsidR="00BE6715" w:rsidRDefault="00000000">
      <w:pPr>
        <w:spacing w:line="360" w:lineRule="auto"/>
        <w:ind w:firstLine="480"/>
        <w:rPr>
          <w:b/>
          <w:bCs/>
          <w:sz w:val="22"/>
          <w:szCs w:val="22"/>
        </w:rPr>
      </w:pPr>
      <w:r>
        <w:rPr>
          <w:b/>
          <w:bCs/>
          <w:kern w:val="2"/>
          <w:sz w:val="22"/>
          <w:szCs w:val="22"/>
        </w:rPr>
        <w:t>第二部分 概述（4课时）</w:t>
      </w:r>
    </w:p>
    <w:p w14:paraId="5C10C968" w14:textId="401463EB" w:rsidR="00740062" w:rsidRDefault="00740062" w:rsidP="00740062">
      <w:pPr>
        <w:spacing w:line="360" w:lineRule="auto"/>
        <w:ind w:firstLine="480"/>
        <w:rPr>
          <w:sz w:val="22"/>
          <w:szCs w:val="22"/>
        </w:rPr>
      </w:pPr>
      <w:r w:rsidRPr="00740062">
        <w:rPr>
          <w:rFonts w:hint="eastAsia"/>
          <w:b/>
          <w:bCs/>
          <w:sz w:val="22"/>
          <w:szCs w:val="22"/>
        </w:rPr>
        <w:t>教学</w:t>
      </w:r>
      <w:r w:rsidRPr="00EE6EFC">
        <w:rPr>
          <w:b/>
          <w:bCs/>
          <w:sz w:val="22"/>
          <w:szCs w:val="22"/>
        </w:rPr>
        <w:t>目标</w:t>
      </w:r>
      <w:r>
        <w:rPr>
          <w:rFonts w:hint="eastAsia"/>
          <w:sz w:val="22"/>
          <w:szCs w:val="22"/>
        </w:rPr>
        <w:t>：（1）</w:t>
      </w:r>
      <w:r w:rsidRPr="00740062">
        <w:rPr>
          <w:sz w:val="22"/>
          <w:szCs w:val="22"/>
        </w:rPr>
        <w:t>理解复式记账法的思想核心与帕西奥利的历史贡献；</w:t>
      </w:r>
      <w:r>
        <w:rPr>
          <w:rFonts w:hint="eastAsia"/>
          <w:sz w:val="22"/>
          <w:szCs w:val="22"/>
        </w:rPr>
        <w:t>（2）</w:t>
      </w:r>
      <w:r w:rsidRPr="00740062">
        <w:rPr>
          <w:sz w:val="22"/>
          <w:szCs w:val="22"/>
        </w:rPr>
        <w:t>把握工业革命时期成本核算与内部控制形成的逻辑；</w:t>
      </w:r>
      <w:r>
        <w:rPr>
          <w:rFonts w:hint="eastAsia"/>
          <w:sz w:val="22"/>
          <w:szCs w:val="22"/>
        </w:rPr>
        <w:t>（3）</w:t>
      </w:r>
      <w:r w:rsidRPr="00740062">
        <w:rPr>
          <w:sz w:val="22"/>
          <w:szCs w:val="22"/>
        </w:rPr>
        <w:t>识别历史成本与公允价值的优劣与适用情境；</w:t>
      </w:r>
      <w:r>
        <w:rPr>
          <w:rFonts w:hint="eastAsia"/>
          <w:sz w:val="22"/>
          <w:szCs w:val="22"/>
        </w:rPr>
        <w:t>（4）</w:t>
      </w:r>
      <w:r w:rsidRPr="00740062">
        <w:rPr>
          <w:sz w:val="22"/>
          <w:szCs w:val="22"/>
        </w:rPr>
        <w:t>了解IFRS与本土准则融合中的关键议题与实践路径；</w:t>
      </w:r>
      <w:r>
        <w:rPr>
          <w:rFonts w:hint="eastAsia"/>
          <w:sz w:val="22"/>
          <w:szCs w:val="22"/>
        </w:rPr>
        <w:t>（5）</w:t>
      </w:r>
      <w:r w:rsidRPr="00740062">
        <w:rPr>
          <w:sz w:val="22"/>
          <w:szCs w:val="22"/>
        </w:rPr>
        <w:t>认识新兴经济体在会计实施上的制度与数据约束。</w:t>
      </w:r>
    </w:p>
    <w:p w14:paraId="110C9B55" w14:textId="10A66F84" w:rsidR="00740062" w:rsidRPr="00740062" w:rsidRDefault="00000000" w:rsidP="00740062">
      <w:pPr>
        <w:spacing w:line="360" w:lineRule="auto"/>
        <w:ind w:firstLine="480"/>
        <w:rPr>
          <w:sz w:val="22"/>
          <w:szCs w:val="22"/>
        </w:rPr>
      </w:pPr>
      <w:r w:rsidRPr="00740062">
        <w:rPr>
          <w:b/>
          <w:bCs/>
          <w:kern w:val="2"/>
          <w:sz w:val="22"/>
          <w:szCs w:val="22"/>
        </w:rPr>
        <w:t>主要内容</w:t>
      </w:r>
      <w:r>
        <w:rPr>
          <w:kern w:val="2"/>
          <w:sz w:val="22"/>
          <w:szCs w:val="22"/>
        </w:rPr>
        <w:t>：</w:t>
      </w:r>
      <w:r w:rsidR="00740062" w:rsidRPr="00740062">
        <w:rPr>
          <w:rFonts w:hint="eastAsia"/>
          <w:sz w:val="22"/>
          <w:szCs w:val="22"/>
        </w:rPr>
        <w:t>会计的演变是一条跨越数千年的技术—制度—思想共同进化的路径。早期的账房文化服务于税赋与财产清点，核心在于记录与保管，而非向外部投资人提供决策有用的信息。中世纪商贸兴起推动了更高水平的记录需求，意大利城邦的商业实践促成了复式记账法的系统化。卢卡·帕西奥利在1494年出版的《算术、几何、比及比例大全》中，以明确的等式结构、借贷对称与账册组织为商人提供了可复制的操作框架。复式记账并非单纯的技巧，它将“交易—账户—等式”的逻辑固定下来，使企业能够在时点与期间之间进行权责配比，从而催生资产负债表与利润表的内在关联。此后几百年间，这一逻辑扩展到远洋贸易与合伙企业，形成了围绕资本保全与债权保护的会计伦理与审慎传统。</w:t>
      </w:r>
    </w:p>
    <w:p w14:paraId="11EDA4FB" w14:textId="607E7E87" w:rsidR="00740062" w:rsidRPr="00740062" w:rsidRDefault="00740062" w:rsidP="00740062">
      <w:pPr>
        <w:spacing w:line="360" w:lineRule="auto"/>
        <w:ind w:firstLine="480"/>
        <w:rPr>
          <w:sz w:val="22"/>
          <w:szCs w:val="22"/>
        </w:rPr>
      </w:pPr>
      <w:r w:rsidRPr="00740062">
        <w:rPr>
          <w:rFonts w:hint="eastAsia"/>
          <w:sz w:val="22"/>
          <w:szCs w:val="22"/>
        </w:rPr>
        <w:t>工业革命改变了会计的服务对象与信息边界。大规模工厂生产要求对成本的精细归集与分配，传统的以交易为中心的账册结构逐渐嵌入了成本会计的思想：材料、人</w:t>
      </w:r>
      <w:r w:rsidRPr="00740062">
        <w:rPr>
          <w:rFonts w:hint="eastAsia"/>
          <w:sz w:val="22"/>
          <w:szCs w:val="22"/>
        </w:rPr>
        <w:lastRenderedPageBreak/>
        <w:t>工与制造费用的分类，标准成本与差异分析，分批与分步等核算体系在19世纪末至20世纪初定型。铁路与重工业推动了折旧、摊销、存货计价等问题的标准化，现代内部控制也在分权管理与代理关系中生长出来。会计由“记录历史”转向“度量与控制过程”，并在资本市场与公司治理制度化的过程中，形成了外部报告标准与审计职业的分工协作。20世纪中叶，通胀、金融创新与全球资本流动，使得历史成本对价格变动的迟钝性更加凸显，重置成本与一般物价水平会计的讨论此起彼伏。进入信息时代，会计信息系统从手工账册、机助记账、企业资源计划（ERP）到基于云与数据湖的现代架构，数据采集与处理的边际成本显著下降，连续审计、实时报告与管理仪表盘成为可能，但“信息更快是否更真”的问题也被推到台前。</w:t>
      </w:r>
    </w:p>
    <w:p w14:paraId="64DEF478" w14:textId="77777777" w:rsidR="00740062" w:rsidRPr="00740062" w:rsidRDefault="00740062" w:rsidP="00740062">
      <w:pPr>
        <w:spacing w:line="360" w:lineRule="auto"/>
        <w:ind w:firstLine="480"/>
        <w:rPr>
          <w:rFonts w:hint="eastAsia"/>
          <w:sz w:val="22"/>
          <w:szCs w:val="22"/>
        </w:rPr>
      </w:pPr>
      <w:r w:rsidRPr="00740062">
        <w:rPr>
          <w:rFonts w:hint="eastAsia"/>
          <w:sz w:val="22"/>
          <w:szCs w:val="22"/>
        </w:rPr>
        <w:t>当代会计思想的分歧，集中体现在计量属性与信息用途的权衡。公允价值计量强调以市场为中心的当期可反映性，能够在活跃市场中提高相关性与及时性，但在市场失灵、流动性枯竭或模型主导的情境下，其波动性与主观性会经由资产负债表传导到损益表。金融危机时期，一些金融资产在“无市场”状态下依赖模型估值，历史成本与公允价值的冲突被放大：前者因迟钝而削弱定价功能，后者因不稳定而放大顺周期性。准则制定者通过层级公允价值、减值模型与披露强化来缓释张力，但“可靠性与相关性”的平衡仍需依赖制度与审计的约束。与此同时，IFRS的全球扩散带来另一层挑战：如何在不同法系、税制与监管文化中保持原则导向标准的可执行性与可比性。中国在与IFRS“基本趋同”的框架下推进本土实施，海外上市企业在收入确认、金融工具分类、租赁与合并等领域进行对接，经常需要在合同条款设计、估计参数口径与披露深度上进行双轨协调。这一过程不仅是技术问题，也关涉执法风格、审计证据、数据可得性与市场预期的协同。</w:t>
      </w:r>
    </w:p>
    <w:p w14:paraId="0DEA2D19" w14:textId="62C7217E" w:rsidR="00BE6715" w:rsidRDefault="00740062" w:rsidP="00740062">
      <w:pPr>
        <w:spacing w:line="360" w:lineRule="auto"/>
        <w:ind w:firstLine="480"/>
        <w:rPr>
          <w:sz w:val="22"/>
          <w:szCs w:val="22"/>
        </w:rPr>
      </w:pPr>
      <w:r w:rsidRPr="00740062">
        <w:rPr>
          <w:rFonts w:hint="eastAsia"/>
          <w:sz w:val="22"/>
          <w:szCs w:val="22"/>
        </w:rPr>
        <w:t>新兴经济体的会计实践呈现出与成熟市场不同的约束条件。以印度为例，快速工业化与数字经济崛起，推动了对现金流量表质量、收入确认与金融工具计量的更高要求，但企业规模分布、家族治理结构、银行主导型融资与税务合规负担，使得标准的适配需要渐进策略。数据基础设施、票据与合同电子化程度直接影响估计参数的可验证性，区域性中小企业的会计能力与鉴证资源不均衡又加剧了实施难度。对此，分阶段采纳、行业指引、样例披露与数字化申报平台的配套，往往比一次性全面切换更加可行。总体来看，会计从古代账房到现代信息系统的演进，是在商业模式、技术环境与法律制度交错作用下持续调整的结果。今日的争议与分歧并非偶发，而是“会计为何而计、为谁而计、如何可证”的经典三问在新语境下的再现。</w:t>
      </w:r>
    </w:p>
    <w:p w14:paraId="512826EC" w14:textId="35568AA9" w:rsidR="005739CB" w:rsidRDefault="005739CB" w:rsidP="005739CB">
      <w:pPr>
        <w:widowControl w:val="0"/>
        <w:spacing w:line="360" w:lineRule="auto"/>
        <w:ind w:firstLine="480"/>
        <w:jc w:val="both"/>
        <w:rPr>
          <w:rFonts w:hint="eastAsia"/>
          <w:sz w:val="22"/>
          <w:szCs w:val="22"/>
        </w:rPr>
      </w:pPr>
      <w:r w:rsidRPr="005739CB">
        <w:rPr>
          <w:rFonts w:hint="eastAsia"/>
          <w:b/>
          <w:bCs/>
          <w:sz w:val="22"/>
          <w:szCs w:val="22"/>
        </w:rPr>
        <w:lastRenderedPageBreak/>
        <w:t>重点难点</w:t>
      </w:r>
      <w:r>
        <w:rPr>
          <w:rFonts w:hint="eastAsia"/>
          <w:sz w:val="22"/>
          <w:szCs w:val="22"/>
        </w:rPr>
        <w:t>：</w:t>
      </w:r>
      <w:r>
        <w:rPr>
          <w:rFonts w:hint="eastAsia"/>
          <w:kern w:val="2"/>
          <w:sz w:val="22"/>
          <w:szCs w:val="22"/>
        </w:rPr>
        <w:t>（1）</w:t>
      </w:r>
      <w:r w:rsidRPr="005739CB">
        <w:rPr>
          <w:kern w:val="2"/>
          <w:sz w:val="22"/>
          <w:szCs w:val="22"/>
        </w:rPr>
        <w:t>复式记账法将“等式—账户—期间”统一的思想意义；</w:t>
      </w:r>
      <w:r>
        <w:rPr>
          <w:rFonts w:hint="eastAsia"/>
          <w:kern w:val="2"/>
          <w:sz w:val="22"/>
          <w:szCs w:val="22"/>
        </w:rPr>
        <w:t>（2）</w:t>
      </w:r>
      <w:r w:rsidRPr="005739CB">
        <w:rPr>
          <w:kern w:val="2"/>
          <w:sz w:val="22"/>
          <w:szCs w:val="22"/>
        </w:rPr>
        <w:t>工业革命如何催生成本核算与内部控制的标准化；</w:t>
      </w:r>
      <w:r>
        <w:rPr>
          <w:rFonts w:hint="eastAsia"/>
          <w:kern w:val="2"/>
          <w:sz w:val="22"/>
          <w:szCs w:val="22"/>
        </w:rPr>
        <w:t>（3）</w:t>
      </w:r>
      <w:r w:rsidRPr="005739CB">
        <w:rPr>
          <w:kern w:val="2"/>
          <w:sz w:val="22"/>
          <w:szCs w:val="22"/>
        </w:rPr>
        <w:t>计量属性在不同市场状态下的选择与后果评估（相关性与可靠性的动态权衡）；</w:t>
      </w:r>
      <w:r>
        <w:rPr>
          <w:rFonts w:hint="eastAsia"/>
          <w:kern w:val="2"/>
          <w:sz w:val="22"/>
          <w:szCs w:val="22"/>
        </w:rPr>
        <w:t>（4）</w:t>
      </w:r>
      <w:r w:rsidRPr="005739CB">
        <w:rPr>
          <w:kern w:val="2"/>
          <w:sz w:val="22"/>
          <w:szCs w:val="22"/>
        </w:rPr>
        <w:t>原则导向标准在证据不足与执法不均衡环境中的落地与可比性维护。</w:t>
      </w:r>
    </w:p>
    <w:p w14:paraId="1E6DDDBC" w14:textId="77777777" w:rsidR="00BE6715" w:rsidRDefault="00000000">
      <w:pPr>
        <w:spacing w:line="360" w:lineRule="auto"/>
        <w:ind w:firstLine="480"/>
        <w:rPr>
          <w:b/>
          <w:bCs/>
          <w:sz w:val="22"/>
          <w:szCs w:val="22"/>
        </w:rPr>
      </w:pPr>
      <w:r>
        <w:rPr>
          <w:b/>
          <w:bCs/>
          <w:kern w:val="2"/>
          <w:sz w:val="22"/>
          <w:szCs w:val="22"/>
        </w:rPr>
        <w:t>第三部分 会计思想发展历程（14课时）</w:t>
      </w:r>
    </w:p>
    <w:p w14:paraId="5CECD6A3" w14:textId="6BE8F155" w:rsidR="005739CB" w:rsidRPr="005739CB" w:rsidRDefault="005739CB" w:rsidP="005739CB">
      <w:pPr>
        <w:spacing w:line="360" w:lineRule="auto"/>
        <w:ind w:firstLine="480"/>
        <w:rPr>
          <w:sz w:val="22"/>
          <w:szCs w:val="22"/>
        </w:rPr>
      </w:pPr>
      <w:r w:rsidRPr="00740062">
        <w:rPr>
          <w:rFonts w:hint="eastAsia"/>
          <w:b/>
          <w:bCs/>
          <w:sz w:val="22"/>
          <w:szCs w:val="22"/>
        </w:rPr>
        <w:t>教学</w:t>
      </w:r>
      <w:r w:rsidRPr="00EE6EFC">
        <w:rPr>
          <w:b/>
          <w:bCs/>
          <w:sz w:val="22"/>
          <w:szCs w:val="22"/>
        </w:rPr>
        <w:t>目标</w:t>
      </w:r>
      <w:r>
        <w:rPr>
          <w:rFonts w:hint="eastAsia"/>
          <w:sz w:val="22"/>
          <w:szCs w:val="22"/>
        </w:rPr>
        <w:t>：（1）</w:t>
      </w:r>
      <w:r w:rsidRPr="005739CB">
        <w:rPr>
          <w:sz w:val="22"/>
          <w:szCs w:val="22"/>
        </w:rPr>
        <w:t>掌握规范会计的核心原则体系及佩顿的历史贡献；</w:t>
      </w:r>
      <w:r>
        <w:rPr>
          <w:rFonts w:hint="eastAsia"/>
          <w:sz w:val="22"/>
          <w:szCs w:val="22"/>
        </w:rPr>
        <w:t>（2）</w:t>
      </w:r>
      <w:r w:rsidRPr="005739CB">
        <w:rPr>
          <w:sz w:val="22"/>
          <w:szCs w:val="22"/>
        </w:rPr>
        <w:t>理解实证会计的兴起脉络、Ball and Brown研究的方法与意义；</w:t>
      </w:r>
      <w:r>
        <w:rPr>
          <w:rFonts w:hint="eastAsia"/>
          <w:sz w:val="22"/>
          <w:szCs w:val="22"/>
        </w:rPr>
        <w:t>（3）</w:t>
      </w:r>
      <w:r w:rsidRPr="005739CB">
        <w:rPr>
          <w:sz w:val="22"/>
          <w:szCs w:val="22"/>
        </w:rPr>
        <w:t>认识区块链与云计算对会计确认、计量、披露与鉴证的具体重塑；</w:t>
      </w:r>
      <w:r>
        <w:rPr>
          <w:rFonts w:hint="eastAsia"/>
          <w:sz w:val="22"/>
          <w:szCs w:val="22"/>
        </w:rPr>
        <w:t>（4）</w:t>
      </w:r>
      <w:r w:rsidRPr="005739CB">
        <w:rPr>
          <w:sz w:val="22"/>
          <w:szCs w:val="22"/>
        </w:rPr>
        <w:t>理解企业社会责任与利益相关者理论对会计伦理与报告边界的影响。</w:t>
      </w:r>
    </w:p>
    <w:p w14:paraId="16236ACB" w14:textId="748BF1B4" w:rsidR="005739CB" w:rsidRPr="005739CB" w:rsidRDefault="00000000" w:rsidP="005739CB">
      <w:pPr>
        <w:spacing w:line="360" w:lineRule="auto"/>
        <w:ind w:firstLine="480"/>
        <w:rPr>
          <w:kern w:val="2"/>
          <w:sz w:val="22"/>
          <w:szCs w:val="22"/>
        </w:rPr>
      </w:pPr>
      <w:r w:rsidRPr="005739CB">
        <w:rPr>
          <w:b/>
          <w:bCs/>
          <w:kern w:val="2"/>
          <w:sz w:val="22"/>
          <w:szCs w:val="22"/>
        </w:rPr>
        <w:t>主要内容</w:t>
      </w:r>
      <w:r>
        <w:rPr>
          <w:kern w:val="2"/>
          <w:sz w:val="22"/>
          <w:szCs w:val="22"/>
        </w:rPr>
        <w:t>：</w:t>
      </w:r>
      <w:r w:rsidR="005739CB" w:rsidRPr="005739CB">
        <w:rPr>
          <w:kern w:val="2"/>
          <w:sz w:val="22"/>
          <w:szCs w:val="22"/>
        </w:rPr>
        <w:t>从思想谱系的角度看，会计发展背后至少有四股相互交织的推动力：规范理论对“应当如何计”的原则供给，实证研究对“事实如何发生”的经验检验，技术创新对信息生产与鉴证机制的重塑，以及社会文化对会计伦理边界与责任分配的再定义。这四者并非彼此替代，而是构成一种动态张力：原则提供方向，证据校准原则，技术扩展可行边界，文化决定可接受性。</w:t>
      </w:r>
    </w:p>
    <w:p w14:paraId="7EE8282D" w14:textId="6D1F98C4" w:rsidR="005739CB" w:rsidRPr="005739CB" w:rsidRDefault="005739CB" w:rsidP="005739CB">
      <w:pPr>
        <w:spacing w:line="360" w:lineRule="auto"/>
        <w:ind w:firstLine="480"/>
        <w:rPr>
          <w:kern w:val="2"/>
          <w:sz w:val="22"/>
          <w:szCs w:val="22"/>
        </w:rPr>
      </w:pPr>
      <w:r w:rsidRPr="005739CB">
        <w:rPr>
          <w:kern w:val="2"/>
          <w:sz w:val="22"/>
          <w:szCs w:val="22"/>
        </w:rPr>
        <w:t>在规范会计的传统中，威廉·佩顿等学者尝试为会计建立一个内部一致、可推演的原则体系。佩顿强调持续经营、历史成本、配比与实现等原则之间的有机联系，主张以“资本维护”为核心，防止名义利润侵蚀真实资本。这一框架的重要性不在于给出唯一答案，而在于提供一套可用于裁量、协调冲突与形成一致性实践的概念语言。例如，配比原则让费用确认与收入确认相互勾连，从而支持期间损益的可解释性；持续经营假定为历史成本的适用提供前提，也为折旧、摊销等系统性分摊提供了正当性。纵然当代准则更强调“原则导向”而非“细化规则”，佩顿式的系统思维仍是判断的底座：当公允价值与历史成本发生冲突，当资产减值与资本维护目标出现张力时，这一框架提供了权衡的坐标。</w:t>
      </w:r>
    </w:p>
    <w:p w14:paraId="3F9994AF" w14:textId="70348379" w:rsidR="005739CB" w:rsidRPr="005739CB" w:rsidRDefault="005739CB" w:rsidP="005739CB">
      <w:pPr>
        <w:spacing w:line="360" w:lineRule="auto"/>
        <w:ind w:firstLine="480"/>
        <w:rPr>
          <w:kern w:val="2"/>
          <w:sz w:val="22"/>
          <w:szCs w:val="22"/>
        </w:rPr>
      </w:pPr>
      <w:r w:rsidRPr="005739CB">
        <w:rPr>
          <w:kern w:val="2"/>
          <w:sz w:val="22"/>
          <w:szCs w:val="22"/>
        </w:rPr>
        <w:t>20世纪后半叶，实证会计兴起，研究者将证券市场的价格反应与会计信息联系起来，检验“会计信息是否有用”的命题。Ball and Brown（1968）通过比较盈余公告与股价变动，发现盈余信息与市场反应之间存在系统关联，推动了“信息含量”与“市场效率”相关议题的研究，也为后来的事件研究方法奠基。此后，实证会计将视野扩展到契约与制度层面：管理者为何进行盈余管理、债务契约与薪酬合约如何塑造会计选择、监管与执法如何影响信息质量。方法论上的创新不仅包括事件研究与横截面回归，还包括差异中之差、工具变量、自然实验与机器学习等，用以识别因果关系</w:t>
      </w:r>
      <w:r w:rsidRPr="005739CB">
        <w:rPr>
          <w:kern w:val="2"/>
          <w:sz w:val="22"/>
          <w:szCs w:val="22"/>
        </w:rPr>
        <w:lastRenderedPageBreak/>
        <w:t>或在不完美条件下提高推断可信度。实证传统的贡献，在于让会计标准与监管政策的设计更关注可观测后果，而不仅是逻辑一致性；其局限则在于外推到新情境时的稳健性与识别假设的可争议性，这反过来需要规范理论与制度分析的补位。</w:t>
      </w:r>
    </w:p>
    <w:p w14:paraId="7FA9D554" w14:textId="29A4A4EE" w:rsidR="005739CB" w:rsidRPr="005739CB" w:rsidRDefault="005739CB" w:rsidP="005739CB">
      <w:pPr>
        <w:spacing w:line="360" w:lineRule="auto"/>
        <w:ind w:firstLine="480"/>
        <w:rPr>
          <w:kern w:val="2"/>
          <w:sz w:val="22"/>
          <w:szCs w:val="22"/>
        </w:rPr>
      </w:pPr>
      <w:r w:rsidRPr="005739CB">
        <w:rPr>
          <w:kern w:val="2"/>
          <w:sz w:val="22"/>
          <w:szCs w:val="22"/>
        </w:rPr>
        <w:t>技术创新为会计提供了新的“工具理性”。区块链在多方协作、低信任环境的供应链场景中，能以分布式账本实现凭证的可追溯与防篡改，降低对单点中介的依赖，提升跨主体对账效率。在应收账款流转、存货质押与产地溯源等应用中，链上事件与链下实物的强绑定仍是难点，但一旦可信映射建立，会计凭证与审计证据的获取路径将从抽样验证转向过程验证与全量监控。云计算则改变了会计信息系统的时间结构与协作边界：数据与算力的弹性供给使实时采集、近实时合并与滚动披露成为可能，持续审计与异常预警由技术上可行转为经济上可行。然而，技术引入并不自动等于信息质量提升，它同时引发控制权与责任边界的重绘：访问权限的最小化原则、日志与变更管理的证据链、模型可解释性与审计可采信性，都需要在制度与职业判断中被内化。</w:t>
      </w:r>
    </w:p>
    <w:p w14:paraId="3169EB5C" w14:textId="77777777" w:rsidR="005739CB" w:rsidRPr="005739CB" w:rsidRDefault="005739CB" w:rsidP="005739CB">
      <w:pPr>
        <w:spacing w:line="360" w:lineRule="auto"/>
        <w:ind w:firstLine="480"/>
        <w:rPr>
          <w:kern w:val="2"/>
          <w:sz w:val="22"/>
          <w:szCs w:val="22"/>
        </w:rPr>
      </w:pPr>
      <w:r w:rsidRPr="005739CB">
        <w:rPr>
          <w:kern w:val="2"/>
          <w:sz w:val="22"/>
          <w:szCs w:val="22"/>
        </w:rPr>
        <w:t>社会文化因素为会计注入“价值理性”。企业社会责任运动与利益相关者理论的扩散，挑战了“股东至上”的单一价值取向，推动会计从仅服务投资者的财务信息，扩展到对环境、员工、社区与供应链的责任披露。伦理从“遵守规则”走向“解释受影响者”，会计职业的独立性与公众责任被放置在更高的期待之下。ESG与可持续报告框架的兴起，既是规范与技术的产物，也是文化与政治经济的结果：哪些影响算“重要性”、如何在成本可承受与信息有用之间取舍、鉴证应达到何种保证水平，这些问题的答案在不同社会中往往不同。会计伦理的现实挑战，也体现在数字时代的数据使用边界、隐私保护与算法偏见管理上：当AI被用于凭证识别与风险评分，职业怀疑不仅指向人，也应指向模型。</w:t>
      </w:r>
    </w:p>
    <w:p w14:paraId="774EF7A1" w14:textId="38403CCF" w:rsidR="00BE6715" w:rsidRDefault="005739CB" w:rsidP="005739CB">
      <w:pPr>
        <w:spacing w:line="360" w:lineRule="auto"/>
        <w:ind w:firstLine="480"/>
        <w:rPr>
          <w:kern w:val="2"/>
          <w:sz w:val="22"/>
          <w:szCs w:val="22"/>
        </w:rPr>
      </w:pPr>
      <w:r w:rsidRPr="005739CB">
        <w:rPr>
          <w:kern w:val="2"/>
          <w:sz w:val="22"/>
          <w:szCs w:val="22"/>
        </w:rPr>
        <w:t>综合而言，会计思想的前进依赖“原则—证据—技术—伦理”的循环：原则提供方向，证据检验有效性，技术扩展可能性，伦理校正边界。对学生而言，理解这一循环比记忆具体规则更为重要，因为它决定了在新问题到来时，如何构造问题、搜集证据、评估工具并做出负责任的判断。</w:t>
      </w:r>
    </w:p>
    <w:p w14:paraId="2125FC76" w14:textId="0E0AFD31" w:rsidR="005739CB" w:rsidRPr="005739CB" w:rsidRDefault="005739CB" w:rsidP="005739CB">
      <w:pPr>
        <w:spacing w:line="360" w:lineRule="auto"/>
        <w:ind w:firstLine="480"/>
        <w:rPr>
          <w:sz w:val="22"/>
          <w:szCs w:val="22"/>
        </w:rPr>
      </w:pPr>
      <w:r w:rsidRPr="005739CB">
        <w:rPr>
          <w:rFonts w:hint="eastAsia"/>
          <w:b/>
          <w:bCs/>
          <w:sz w:val="22"/>
          <w:szCs w:val="22"/>
        </w:rPr>
        <w:t>重点难点</w:t>
      </w:r>
      <w:r>
        <w:rPr>
          <w:rFonts w:hint="eastAsia"/>
          <w:sz w:val="22"/>
          <w:szCs w:val="22"/>
        </w:rPr>
        <w:t>：（1）</w:t>
      </w:r>
      <w:r w:rsidRPr="005739CB">
        <w:rPr>
          <w:sz w:val="22"/>
          <w:szCs w:val="22"/>
        </w:rPr>
        <w:t>佩顿原则体系与现代原则导向准则的内在关联；</w:t>
      </w:r>
      <w:r>
        <w:rPr>
          <w:rFonts w:hint="eastAsia"/>
          <w:sz w:val="22"/>
          <w:szCs w:val="22"/>
        </w:rPr>
        <w:t>（2）</w:t>
      </w:r>
      <w:r w:rsidRPr="005739CB">
        <w:rPr>
          <w:sz w:val="22"/>
          <w:szCs w:val="22"/>
        </w:rPr>
        <w:t>Ball and Brown的研究设计</w:t>
      </w:r>
      <w:r>
        <w:rPr>
          <w:rFonts w:hint="eastAsia"/>
          <w:sz w:val="22"/>
          <w:szCs w:val="22"/>
        </w:rPr>
        <w:t>，如何</w:t>
      </w:r>
      <w:r w:rsidRPr="005739CB">
        <w:rPr>
          <w:sz w:val="22"/>
          <w:szCs w:val="22"/>
        </w:rPr>
        <w:t>将实证方法的识别逻辑迁移到真实业务判断；</w:t>
      </w:r>
      <w:r>
        <w:rPr>
          <w:rFonts w:hint="eastAsia"/>
          <w:sz w:val="22"/>
          <w:szCs w:val="22"/>
        </w:rPr>
        <w:t>（3）</w:t>
      </w:r>
      <w:r w:rsidRPr="005739CB">
        <w:rPr>
          <w:sz w:val="22"/>
          <w:szCs w:val="22"/>
        </w:rPr>
        <w:t>把新技术的可行性转化为可审计、可合规的制度安排；</w:t>
      </w:r>
      <w:r>
        <w:rPr>
          <w:rFonts w:hint="eastAsia"/>
          <w:sz w:val="22"/>
          <w:szCs w:val="22"/>
        </w:rPr>
        <w:t>（4）</w:t>
      </w:r>
      <w:r w:rsidRPr="005739CB">
        <w:rPr>
          <w:sz w:val="22"/>
          <w:szCs w:val="22"/>
        </w:rPr>
        <w:t xml:space="preserve">利益相关者理论驱动下会计伦理与披露范围的扩展。 </w:t>
      </w:r>
    </w:p>
    <w:p w14:paraId="2B769DE9" w14:textId="77777777" w:rsidR="00BE6715" w:rsidRDefault="00000000">
      <w:pPr>
        <w:spacing w:line="360" w:lineRule="auto"/>
        <w:ind w:firstLine="480"/>
        <w:rPr>
          <w:b/>
          <w:bCs/>
          <w:sz w:val="22"/>
          <w:szCs w:val="22"/>
        </w:rPr>
      </w:pPr>
      <w:r>
        <w:rPr>
          <w:b/>
          <w:bCs/>
          <w:kern w:val="2"/>
          <w:sz w:val="22"/>
          <w:szCs w:val="22"/>
        </w:rPr>
        <w:lastRenderedPageBreak/>
        <w:t>第四部分 当代会计理论研究的发展（10课时）</w:t>
      </w:r>
    </w:p>
    <w:p w14:paraId="605E923D" w14:textId="5B690D41" w:rsidR="00303BA5" w:rsidRPr="00303BA5" w:rsidRDefault="00303BA5" w:rsidP="00303BA5">
      <w:pPr>
        <w:spacing w:line="360" w:lineRule="auto"/>
        <w:ind w:firstLine="480"/>
        <w:rPr>
          <w:sz w:val="22"/>
          <w:szCs w:val="22"/>
        </w:rPr>
      </w:pPr>
      <w:r>
        <w:rPr>
          <w:rFonts w:hint="eastAsia"/>
          <w:b/>
          <w:bCs/>
          <w:sz w:val="22"/>
          <w:szCs w:val="22"/>
        </w:rPr>
        <w:t>教学目标</w:t>
      </w:r>
      <w:r w:rsidR="00571015">
        <w:rPr>
          <w:rFonts w:hint="eastAsia"/>
          <w:sz w:val="22"/>
          <w:szCs w:val="22"/>
        </w:rPr>
        <w:t>：（1）</w:t>
      </w:r>
      <w:r>
        <w:rPr>
          <w:rFonts w:hint="eastAsia"/>
          <w:sz w:val="22"/>
          <w:szCs w:val="22"/>
        </w:rPr>
        <w:t>了解</w:t>
      </w:r>
      <w:r w:rsidRPr="00303BA5">
        <w:rPr>
          <w:sz w:val="22"/>
          <w:szCs w:val="22"/>
        </w:rPr>
        <w:t>实证会计的主要方法（事件研究、回归/面板计量、实验设计）及其适用场景；</w:t>
      </w:r>
      <w:r>
        <w:rPr>
          <w:rFonts w:hint="eastAsia"/>
          <w:sz w:val="22"/>
          <w:szCs w:val="22"/>
        </w:rPr>
        <w:t>（2）介绍有效市场假说</w:t>
      </w:r>
      <w:r w:rsidRPr="00303BA5">
        <w:rPr>
          <w:sz w:val="22"/>
          <w:szCs w:val="22"/>
        </w:rPr>
        <w:t>、盈余管理与信息披露</w:t>
      </w:r>
      <w:r>
        <w:rPr>
          <w:rFonts w:hint="eastAsia"/>
          <w:sz w:val="22"/>
          <w:szCs w:val="22"/>
        </w:rPr>
        <w:t>等相关实证会计理论</w:t>
      </w:r>
      <w:r w:rsidRPr="00303BA5">
        <w:rPr>
          <w:sz w:val="22"/>
          <w:szCs w:val="22"/>
        </w:rPr>
        <w:t>；</w:t>
      </w:r>
      <w:r>
        <w:rPr>
          <w:rFonts w:hint="eastAsia"/>
          <w:sz w:val="22"/>
          <w:szCs w:val="22"/>
        </w:rPr>
        <w:t>（3）</w:t>
      </w:r>
      <w:r w:rsidRPr="00303BA5">
        <w:rPr>
          <w:sz w:val="22"/>
          <w:szCs w:val="22"/>
        </w:rPr>
        <w:t>能将研究发现转译为准则修订建议与审计程序优化方案。</w:t>
      </w:r>
    </w:p>
    <w:p w14:paraId="749CB787" w14:textId="797C2613" w:rsidR="00571015" w:rsidRPr="00571015" w:rsidRDefault="00000000" w:rsidP="00571015">
      <w:pPr>
        <w:spacing w:line="360" w:lineRule="auto"/>
        <w:ind w:firstLine="480"/>
        <w:rPr>
          <w:kern w:val="2"/>
          <w:sz w:val="22"/>
          <w:szCs w:val="22"/>
        </w:rPr>
      </w:pPr>
      <w:r w:rsidRPr="00571015">
        <w:rPr>
          <w:b/>
          <w:bCs/>
          <w:kern w:val="2"/>
          <w:sz w:val="22"/>
          <w:szCs w:val="22"/>
        </w:rPr>
        <w:t>主要内容</w:t>
      </w:r>
      <w:r>
        <w:rPr>
          <w:kern w:val="2"/>
          <w:sz w:val="22"/>
          <w:szCs w:val="22"/>
        </w:rPr>
        <w:t>：</w:t>
      </w:r>
      <w:r w:rsidR="00571015" w:rsidRPr="00571015">
        <w:rPr>
          <w:kern w:val="2"/>
          <w:sz w:val="22"/>
          <w:szCs w:val="22"/>
        </w:rPr>
        <w:t>现代会计学的实证研究，以“从数据出发回答制度与行为问题”为基本取向，经历了从价格反应到契约设计、从静态相关到因果识别、从财务报表到信息生态的逐步拓展。其方法论谱系包含事件研究、回归与面板计量、准实验与自然实验、实验室与田野实验、文本挖掘与机器学习等多元工具，研究对象则涵盖资本市场效率、盈余管理、披露制度、治理与审计、监管效果评估等核心主题。</w:t>
      </w:r>
    </w:p>
    <w:p w14:paraId="3B39A337" w14:textId="77777777" w:rsidR="00571015" w:rsidRPr="00571015" w:rsidRDefault="00571015" w:rsidP="00571015">
      <w:pPr>
        <w:spacing w:line="360" w:lineRule="auto"/>
        <w:ind w:firstLine="480"/>
        <w:rPr>
          <w:kern w:val="2"/>
          <w:sz w:val="22"/>
          <w:szCs w:val="22"/>
        </w:rPr>
      </w:pPr>
      <w:r w:rsidRPr="00571015">
        <w:rPr>
          <w:kern w:val="2"/>
          <w:sz w:val="22"/>
          <w:szCs w:val="22"/>
        </w:rPr>
        <w:t>事件研究法作为会计与金融交叉的早期主力方法，依托市场模型或Fama-French因子模型估计正常收益，再以公告窗口内的异常收益衡量信息含量与财富效应。在并购评估中，研究者通过设定公告日前后的短窗与长窗，检验收购方与被收购方股东财富的变动，进一步结合支付方式（现金或换股）、产业关联度、治理结构与市场竞争程度，解释并购溢价的来源与整合预期的现实性。事件研究也扩展到准则发布、监管新规、重大审计意见与重大诉讼等情境，用以识别会计与治理信息对市场定价的边际贡献。其优势在于时点清晰、结果直观，但外生性与信息叠加、选择性曝光等问题需要通过多重事件排除、工具变量或替代窗口检验加以缓释。</w:t>
      </w:r>
    </w:p>
    <w:p w14:paraId="2D37417C" w14:textId="77777777" w:rsidR="00571015" w:rsidRPr="00571015" w:rsidRDefault="00571015" w:rsidP="00571015">
      <w:pPr>
        <w:spacing w:line="360" w:lineRule="auto"/>
        <w:ind w:firstLine="480"/>
        <w:rPr>
          <w:kern w:val="2"/>
          <w:sz w:val="22"/>
          <w:szCs w:val="22"/>
        </w:rPr>
      </w:pPr>
      <w:r w:rsidRPr="00571015">
        <w:rPr>
          <w:kern w:val="2"/>
          <w:sz w:val="22"/>
          <w:szCs w:val="22"/>
        </w:rPr>
        <w:t>回归分析与面板计量为“预测与解释”提供主干框架。在财务风险预测领域，基于会计比率与现金流指标的早期模型（如Altman Z-score）发展为集成更丰富特征的面板回归与机器学习模型，用于违约概率、财务困境与破产风险的前瞻性评估。研究实践强调样本外检验、时间滚动验证与类别不平衡处理，并关注变量经济含义与稳健性（如行业固定效应、公司与年份双向固定效应、聚类稳健标准误）。在盈余质量与操纵识别方面，基于应计项目的模型（如Jones与修正Jones模型）被广泛用于估计“正常应计”，从而以残差刻画可疑操纵，并结合真实活动操纵度量（异常折扣、产销投入异常、研发与广告削减等）构成更全面的识别框架。近年来，文本回归与情感分析用于解读管理层讨论与分析（MD&amp;A）、盈利电话会议文字实录、社媒与新闻情绪对收益与风险的预测力，提升了对“软信息”的量化能力。</w:t>
      </w:r>
    </w:p>
    <w:p w14:paraId="3BD7F6FB" w14:textId="77777777" w:rsidR="00571015" w:rsidRPr="00571015" w:rsidRDefault="00571015" w:rsidP="00571015">
      <w:pPr>
        <w:spacing w:line="360" w:lineRule="auto"/>
        <w:ind w:firstLine="480"/>
        <w:rPr>
          <w:kern w:val="2"/>
          <w:sz w:val="22"/>
          <w:szCs w:val="22"/>
        </w:rPr>
      </w:pPr>
      <w:r w:rsidRPr="00571015">
        <w:rPr>
          <w:kern w:val="2"/>
          <w:sz w:val="22"/>
          <w:szCs w:val="22"/>
        </w:rPr>
        <w:t>实验设计在行为会计中打开了“微观机制”的黑箱。实验室实验通过控制信息负荷、激励结构与评价准则，考察管理者在预算松弛、业绩阈值与声誉约束下的报告偏好，或审计人员在时间压力、确认偏误、锚定效应与框架效应下的判断质量。田野实</w:t>
      </w:r>
      <w:r w:rsidRPr="00571015">
        <w:rPr>
          <w:kern w:val="2"/>
          <w:sz w:val="22"/>
          <w:szCs w:val="22"/>
        </w:rPr>
        <w:lastRenderedPageBreak/>
        <w:t>验与自然情境中的随机对照（如对不同分支机构推送差异化内控提醒）则揭示制度微调对合规与效率的具体影响。与事件研究的“市场反应”不同，实验强调可控环境下的因果推断，能够解释心理与组织因素如何塑造会计判断与道德决策，但其外部有效性与样本代表性需要通过多场景复现与准实验证据相互支撑。</w:t>
      </w:r>
    </w:p>
    <w:p w14:paraId="672AD937" w14:textId="77777777" w:rsidR="00571015" w:rsidRPr="00571015" w:rsidRDefault="00571015" w:rsidP="00571015">
      <w:pPr>
        <w:spacing w:line="360" w:lineRule="auto"/>
        <w:ind w:firstLine="480"/>
        <w:rPr>
          <w:kern w:val="2"/>
          <w:sz w:val="22"/>
          <w:szCs w:val="22"/>
        </w:rPr>
      </w:pPr>
      <w:r w:rsidRPr="00571015">
        <w:rPr>
          <w:kern w:val="2"/>
          <w:sz w:val="22"/>
          <w:szCs w:val="22"/>
        </w:rPr>
        <w:t>围绕资本市场效率，实证研究既检验有效市场假说的强弱形式，也揭示了“有限理性—信息摩擦—制度约束”共同作用下的偏离。盈余公告与预告的价格反应、公告后漂移（PEAD）、分析师跟踪与机构投资者结构的差异，使得“信息到价的速度与完整性”呈现情境依赖。信息披露研究进一步探讨强制与自愿披露的边界：管理层为何选择自愿性报告（如盈利预警、非GAAP指标、ESG披露），其动机可能包括融资需求、声誉建设与诉讼风险管理，而披露质量与可验证性又受治理、审计与执法环境制约。盈余管理研究在应计操纵的基础上，强调真实活动操纵的迁移效应，即在监管加强与审计约束强化后，企业更可能通过提前折扣、压缩研发与广告、延迟维护等“经营性调整”来达成短期目标，带来跨期效率损失与长期绩效下滑。</w:t>
      </w:r>
    </w:p>
    <w:p w14:paraId="71DC119B" w14:textId="77777777" w:rsidR="00571015" w:rsidRPr="00571015" w:rsidRDefault="00571015" w:rsidP="00571015">
      <w:pPr>
        <w:spacing w:line="360" w:lineRule="auto"/>
        <w:ind w:firstLine="480"/>
        <w:rPr>
          <w:kern w:val="2"/>
          <w:sz w:val="22"/>
          <w:szCs w:val="22"/>
        </w:rPr>
      </w:pPr>
      <w:r w:rsidRPr="00571015">
        <w:rPr>
          <w:kern w:val="2"/>
          <w:sz w:val="22"/>
          <w:szCs w:val="22"/>
        </w:rPr>
        <w:t>实证证据对准则制定与监管改革产生了深远影响。准则制定机构（如FASB）在修订收入确认、金融工具与租赁标准时，系统吸纳关于可比性、信息含量、估计不确定性与执行成本的研究结果，采用征求意见、外部研究综述与现场试点三位一体的证据链条。审计实务方面，风险导向审计由规则清单式向基于数据与流程的分析转型，利用异常分布检测、分录挖掘、连续审计与流程挖掘优化程序设计与抽样策略，提高重大错报风险识别的精度并降低不必要的程序负担。安然事件之后，美国《萨班斯-奥克斯利法》（SOX）引入高层签字、内部控制审计（404条款）与审计委员会强化等制度，实证研究通过断点回归、双重差分与匹配样本等方法，评估其对盈余质量、审计费用、资本成本与公司治理的净效应。总体证据表明，SOX提升了信息质量与投资者信心，但在小型企业上带来较高合规成本与私有化倾向；监管边际的最优点因企业规模、行业复杂度与治理基础不同而异，提示政策需“分层施行”。</w:t>
      </w:r>
    </w:p>
    <w:p w14:paraId="229C6677" w14:textId="77777777" w:rsidR="00571015" w:rsidRPr="00571015" w:rsidRDefault="00571015" w:rsidP="00571015">
      <w:pPr>
        <w:spacing w:line="360" w:lineRule="auto"/>
        <w:ind w:firstLine="480"/>
        <w:rPr>
          <w:kern w:val="2"/>
          <w:sz w:val="22"/>
          <w:szCs w:val="22"/>
        </w:rPr>
      </w:pPr>
      <w:r w:rsidRPr="00571015">
        <w:rPr>
          <w:kern w:val="2"/>
          <w:sz w:val="22"/>
          <w:szCs w:val="22"/>
        </w:rPr>
        <w:t>案例层面的纵深分析进一步展示了“证据—政策—实务”的循环。安然与世通丑闻揭示表外融资、特殊目的实体与审计独立性缺口如何在宽松披露与激励扭曲下累积风险，后续准则与监管在合并范围界定、关联披露、审计轮换与非审计服务限制上进行矫正。金融危机后，关于公允价值的顺周期性与按市计价的市场冲击效应也通过跨国样本的研究得到系统评估，助推了减值模型与层级披露的精细化。近年来，关于关键审计事项（KAM/CRM）、盈利电话会议语气与可读性、机器可解释模型在风险评估中</w:t>
      </w:r>
      <w:r w:rsidRPr="00571015">
        <w:rPr>
          <w:kern w:val="2"/>
          <w:sz w:val="22"/>
          <w:szCs w:val="22"/>
        </w:rPr>
        <w:lastRenderedPageBreak/>
        <w:t>的应用等新议题，正将会计实证从“结果描述”推进到“机制识别与工具落地”的新阶段。</w:t>
      </w:r>
    </w:p>
    <w:p w14:paraId="0A928BF6" w14:textId="490BCA42" w:rsidR="00BE6715" w:rsidRDefault="00571015" w:rsidP="00E752F5">
      <w:pPr>
        <w:spacing w:line="360" w:lineRule="auto"/>
        <w:ind w:firstLine="480"/>
        <w:rPr>
          <w:rFonts w:hint="eastAsia"/>
          <w:b/>
        </w:rPr>
      </w:pPr>
      <w:r w:rsidRPr="005739CB">
        <w:rPr>
          <w:rFonts w:hint="eastAsia"/>
          <w:b/>
          <w:bCs/>
          <w:sz w:val="22"/>
          <w:szCs w:val="22"/>
        </w:rPr>
        <w:t>重点难点</w:t>
      </w:r>
      <w:r>
        <w:rPr>
          <w:rFonts w:hint="eastAsia"/>
          <w:sz w:val="22"/>
          <w:szCs w:val="22"/>
        </w:rPr>
        <w:t>：</w:t>
      </w:r>
      <w:r w:rsidR="00E752F5">
        <w:rPr>
          <w:rFonts w:hint="eastAsia"/>
          <w:sz w:val="22"/>
          <w:szCs w:val="22"/>
        </w:rPr>
        <w:t>（1）</w:t>
      </w:r>
      <w:r w:rsidR="00E752F5" w:rsidRPr="00E752F5">
        <w:rPr>
          <w:sz w:val="22"/>
          <w:szCs w:val="22"/>
        </w:rPr>
        <w:t>事件研究的实施细节（模型选择、窗口设定、协变量控制）；</w:t>
      </w:r>
      <w:r w:rsidR="00E752F5">
        <w:rPr>
          <w:rFonts w:hint="eastAsia"/>
          <w:sz w:val="22"/>
          <w:szCs w:val="22"/>
        </w:rPr>
        <w:t>（2）</w:t>
      </w:r>
      <w:r w:rsidR="00E752F5" w:rsidRPr="00E752F5">
        <w:rPr>
          <w:sz w:val="22"/>
          <w:szCs w:val="22"/>
        </w:rPr>
        <w:t>基于应计与真实活动的盈余管理识别体系；</w:t>
      </w:r>
      <w:r w:rsidR="00E752F5">
        <w:rPr>
          <w:rFonts w:hint="eastAsia"/>
          <w:sz w:val="22"/>
          <w:szCs w:val="22"/>
        </w:rPr>
        <w:t>（3）</w:t>
      </w:r>
      <w:r w:rsidR="00E752F5" w:rsidRPr="00E752F5">
        <w:rPr>
          <w:sz w:val="22"/>
          <w:szCs w:val="22"/>
        </w:rPr>
        <w:t>SOX等监管改革的准实验评估方法与主要发现；</w:t>
      </w:r>
      <w:r w:rsidR="00E752F5">
        <w:rPr>
          <w:rFonts w:hint="eastAsia"/>
          <w:sz w:val="22"/>
          <w:szCs w:val="22"/>
        </w:rPr>
        <w:t>（4）</w:t>
      </w:r>
      <w:r w:rsidR="00E752F5" w:rsidRPr="00E752F5">
        <w:rPr>
          <w:sz w:val="22"/>
          <w:szCs w:val="22"/>
        </w:rPr>
        <w:t>实证证据向准则制定与审计实务的转化机制。</w:t>
      </w:r>
    </w:p>
    <w:sectPr w:rsidR="00BE6715">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6BAB8" w14:textId="77777777" w:rsidR="00CE0EF8" w:rsidRDefault="00CE0EF8">
      <w:r>
        <w:separator/>
      </w:r>
    </w:p>
  </w:endnote>
  <w:endnote w:type="continuationSeparator" w:id="0">
    <w:p w14:paraId="4AD4A861" w14:textId="77777777" w:rsidR="00CE0EF8" w:rsidRDefault="00CE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隶书">
    <w:altName w:val="微软雅黑"/>
    <w:panose1 w:val="020B0604020202020204"/>
    <w:charset w:val="86"/>
    <w:family w:val="modern"/>
    <w:pitch w:val="default"/>
    <w:sig w:usb0="00000001"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78B7" w14:textId="77777777" w:rsidR="00BE6715" w:rsidRDefault="00000000">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28626ED" w14:textId="77777777" w:rsidR="00BE6715" w:rsidRDefault="00BE671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43AE" w14:textId="77777777" w:rsidR="00BE6715" w:rsidRDefault="00000000">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rPr>
      <w:t>2</w:t>
    </w:r>
    <w:r>
      <w:rPr>
        <w:rStyle w:val="a9"/>
      </w:rPr>
      <w:fldChar w:fldCharType="end"/>
    </w:r>
  </w:p>
  <w:p w14:paraId="16ECEA20" w14:textId="77777777" w:rsidR="00BE6715" w:rsidRDefault="00BE671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D7370" w14:textId="77777777" w:rsidR="00CE0EF8" w:rsidRDefault="00CE0EF8">
      <w:r>
        <w:separator/>
      </w:r>
    </w:p>
  </w:footnote>
  <w:footnote w:type="continuationSeparator" w:id="0">
    <w:p w14:paraId="35E40FA1" w14:textId="77777777" w:rsidR="00CE0EF8" w:rsidRDefault="00CE0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202"/>
    <w:multiLevelType w:val="multilevel"/>
    <w:tmpl w:val="C9BA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58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wNTI3M7I0MDY3NDZV0lEKTi0uzszPAykwrAUACYpDMywAAAA="/>
    <w:docVar w:name="commondata" w:val="eyJoZGlkIjoiOWIxMWRkNTI0MjE1NzkyN2M2NGFhNjQxOGE1MDVkYWMifQ=="/>
  </w:docVars>
  <w:rsids>
    <w:rsidRoot w:val="000C329D"/>
    <w:rsid w:val="00010917"/>
    <w:rsid w:val="00030110"/>
    <w:rsid w:val="00055650"/>
    <w:rsid w:val="00056825"/>
    <w:rsid w:val="00085CC2"/>
    <w:rsid w:val="000A1C74"/>
    <w:rsid w:val="000B6F71"/>
    <w:rsid w:val="000C329D"/>
    <w:rsid w:val="000F597C"/>
    <w:rsid w:val="00102870"/>
    <w:rsid w:val="00105DD3"/>
    <w:rsid w:val="001273AA"/>
    <w:rsid w:val="00150FE9"/>
    <w:rsid w:val="00161040"/>
    <w:rsid w:val="0016580A"/>
    <w:rsid w:val="00180B3B"/>
    <w:rsid w:val="00181774"/>
    <w:rsid w:val="00193B03"/>
    <w:rsid w:val="001A6233"/>
    <w:rsid w:val="001A6BCD"/>
    <w:rsid w:val="001C4B42"/>
    <w:rsid w:val="001D3ACA"/>
    <w:rsid w:val="001E66CC"/>
    <w:rsid w:val="001F5E1E"/>
    <w:rsid w:val="00235E7C"/>
    <w:rsid w:val="00246AD8"/>
    <w:rsid w:val="002472C5"/>
    <w:rsid w:val="002A125A"/>
    <w:rsid w:val="002A36F8"/>
    <w:rsid w:val="002A4A15"/>
    <w:rsid w:val="002C1EDB"/>
    <w:rsid w:val="002C3603"/>
    <w:rsid w:val="002C7D1B"/>
    <w:rsid w:val="002E1FE7"/>
    <w:rsid w:val="002F4283"/>
    <w:rsid w:val="00303BA5"/>
    <w:rsid w:val="00311521"/>
    <w:rsid w:val="00321178"/>
    <w:rsid w:val="003347B9"/>
    <w:rsid w:val="003435C8"/>
    <w:rsid w:val="00343CAD"/>
    <w:rsid w:val="00377859"/>
    <w:rsid w:val="003901DE"/>
    <w:rsid w:val="003E20A7"/>
    <w:rsid w:val="003F4D89"/>
    <w:rsid w:val="004125FE"/>
    <w:rsid w:val="004200F5"/>
    <w:rsid w:val="00431850"/>
    <w:rsid w:val="00435F04"/>
    <w:rsid w:val="00453388"/>
    <w:rsid w:val="00473148"/>
    <w:rsid w:val="004A131C"/>
    <w:rsid w:val="004D2517"/>
    <w:rsid w:val="00504A84"/>
    <w:rsid w:val="00517DB4"/>
    <w:rsid w:val="0052764B"/>
    <w:rsid w:val="005545FA"/>
    <w:rsid w:val="00560EA3"/>
    <w:rsid w:val="00571015"/>
    <w:rsid w:val="005739CB"/>
    <w:rsid w:val="00580FA3"/>
    <w:rsid w:val="005B691D"/>
    <w:rsid w:val="005D0D0E"/>
    <w:rsid w:val="005E4F07"/>
    <w:rsid w:val="00600422"/>
    <w:rsid w:val="0060778E"/>
    <w:rsid w:val="00613340"/>
    <w:rsid w:val="0064161E"/>
    <w:rsid w:val="00662177"/>
    <w:rsid w:val="00691A33"/>
    <w:rsid w:val="00693FAB"/>
    <w:rsid w:val="006A5B21"/>
    <w:rsid w:val="006B3CA9"/>
    <w:rsid w:val="006B5B50"/>
    <w:rsid w:val="007044B0"/>
    <w:rsid w:val="007275D6"/>
    <w:rsid w:val="0073727C"/>
    <w:rsid w:val="00740062"/>
    <w:rsid w:val="00746E38"/>
    <w:rsid w:val="00770B95"/>
    <w:rsid w:val="00774200"/>
    <w:rsid w:val="00793D9A"/>
    <w:rsid w:val="007A6B98"/>
    <w:rsid w:val="007B4681"/>
    <w:rsid w:val="007C293B"/>
    <w:rsid w:val="007D4A0D"/>
    <w:rsid w:val="00817F80"/>
    <w:rsid w:val="00836C86"/>
    <w:rsid w:val="00855619"/>
    <w:rsid w:val="008D31BE"/>
    <w:rsid w:val="008F027C"/>
    <w:rsid w:val="008F3384"/>
    <w:rsid w:val="009035E7"/>
    <w:rsid w:val="009163DB"/>
    <w:rsid w:val="00925BCD"/>
    <w:rsid w:val="0092675D"/>
    <w:rsid w:val="00933957"/>
    <w:rsid w:val="00934E46"/>
    <w:rsid w:val="00957EC2"/>
    <w:rsid w:val="00971901"/>
    <w:rsid w:val="009A0B1A"/>
    <w:rsid w:val="009B63E9"/>
    <w:rsid w:val="009C4F2E"/>
    <w:rsid w:val="009D3810"/>
    <w:rsid w:val="009E7139"/>
    <w:rsid w:val="009F49C5"/>
    <w:rsid w:val="009F7252"/>
    <w:rsid w:val="00A06502"/>
    <w:rsid w:val="00A22677"/>
    <w:rsid w:val="00A22C20"/>
    <w:rsid w:val="00A2512F"/>
    <w:rsid w:val="00A2657E"/>
    <w:rsid w:val="00A43AEF"/>
    <w:rsid w:val="00A455C2"/>
    <w:rsid w:val="00A621E7"/>
    <w:rsid w:val="00A9565E"/>
    <w:rsid w:val="00AE2F2E"/>
    <w:rsid w:val="00B10A4C"/>
    <w:rsid w:val="00B36998"/>
    <w:rsid w:val="00BD3287"/>
    <w:rsid w:val="00BE6715"/>
    <w:rsid w:val="00C002DF"/>
    <w:rsid w:val="00C268EC"/>
    <w:rsid w:val="00C716F9"/>
    <w:rsid w:val="00C778F5"/>
    <w:rsid w:val="00C84EA8"/>
    <w:rsid w:val="00CA09BF"/>
    <w:rsid w:val="00CA0D91"/>
    <w:rsid w:val="00CB25C0"/>
    <w:rsid w:val="00CE0EF8"/>
    <w:rsid w:val="00D01D59"/>
    <w:rsid w:val="00D5482C"/>
    <w:rsid w:val="00D80FB2"/>
    <w:rsid w:val="00DA0EB8"/>
    <w:rsid w:val="00DF4229"/>
    <w:rsid w:val="00E06703"/>
    <w:rsid w:val="00E752F5"/>
    <w:rsid w:val="00E9780C"/>
    <w:rsid w:val="00EB4333"/>
    <w:rsid w:val="00EE6EFC"/>
    <w:rsid w:val="00EF5066"/>
    <w:rsid w:val="00F10ABD"/>
    <w:rsid w:val="00F25142"/>
    <w:rsid w:val="00F72123"/>
    <w:rsid w:val="00FA4103"/>
    <w:rsid w:val="00FC5C6B"/>
    <w:rsid w:val="1D6A1D45"/>
    <w:rsid w:val="29677E1E"/>
    <w:rsid w:val="31393EB9"/>
    <w:rsid w:val="51592402"/>
    <w:rsid w:val="53220E17"/>
    <w:rsid w:val="541446DE"/>
    <w:rsid w:val="686C1C38"/>
    <w:rsid w:val="751C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CA8A18A"/>
  <w15:docId w15:val="{71BAF2DC-5C7F-604C-9ED3-30F6196A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3BA5"/>
    <w:rPr>
      <w:rFonts w:ascii="宋体" w:hAnsi="宋体" w:cs="宋体"/>
      <w:sz w:val="24"/>
      <w:szCs w:val="24"/>
    </w:rPr>
  </w:style>
  <w:style w:type="paragraph" w:styleId="2">
    <w:name w:val="heading 2"/>
    <w:basedOn w:val="a"/>
    <w:next w:val="a"/>
    <w:qFormat/>
    <w:pPr>
      <w:autoSpaceDE w:val="0"/>
      <w:autoSpaceDN w:val="0"/>
      <w:adjustRightInd w:val="0"/>
      <w:ind w:left="270" w:hanging="270"/>
      <w:outlineLvl w:val="1"/>
    </w:pPr>
    <w:rPr>
      <w:rFonts w:eastAsia="隶书"/>
      <w:color w:val="FFFFFF"/>
      <w:sz w:val="32"/>
      <w:szCs w:val="32"/>
      <w:lang w:val="zh-CN"/>
    </w:rPr>
  </w:style>
  <w:style w:type="paragraph" w:styleId="4">
    <w:name w:val="heading 4"/>
    <w:basedOn w:val="a"/>
    <w:next w:val="a"/>
    <w:qFormat/>
    <w:pPr>
      <w:autoSpaceDE w:val="0"/>
      <w:autoSpaceDN w:val="0"/>
      <w:adjustRightInd w:val="0"/>
      <w:ind w:left="901" w:hanging="181"/>
      <w:outlineLvl w:val="3"/>
    </w:pPr>
    <w:rPr>
      <w:b/>
      <w:bCs/>
      <w:color w:val="000000"/>
      <w:sz w:val="28"/>
      <w:lang w:val="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Plain Text"/>
    <w:basedOn w:val="a"/>
    <w:qFormat/>
    <w:rPr>
      <w:rFonts w:hAnsi="Courier New"/>
      <w:szCs w:val="20"/>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styleId="aa">
    <w:name w:val="Hyperlink"/>
    <w:qFormat/>
    <w:rPr>
      <w:color w:val="0000FF"/>
      <w:u w:val="single"/>
    </w:rPr>
  </w:style>
  <w:style w:type="character" w:customStyle="1" w:styleId="a7">
    <w:name w:val="页眉 字符"/>
    <w:link w:val="a6"/>
    <w:qFormat/>
    <w:rPr>
      <w:kern w:val="2"/>
      <w:sz w:val="18"/>
      <w:szCs w:val="18"/>
    </w:rPr>
  </w:style>
  <w:style w:type="paragraph" w:customStyle="1" w:styleId="Style18">
    <w:name w:val="_Style 18"/>
    <w:basedOn w:val="a"/>
    <w:next w:val="a3"/>
    <w:qFormat/>
    <w:pPr>
      <w:ind w:firstLine="420"/>
    </w:pPr>
    <w:rPr>
      <w:szCs w:val="20"/>
    </w:rPr>
  </w:style>
  <w:style w:type="paragraph" w:customStyle="1" w:styleId="Style24">
    <w:name w:val="_Style 24"/>
    <w:basedOn w:val="a"/>
    <w:next w:val="ab"/>
    <w:uiPriority w:val="34"/>
    <w:qFormat/>
    <w:pPr>
      <w:ind w:firstLineChars="200" w:firstLine="420"/>
    </w:pPr>
    <w:rPr>
      <w:rFonts w:ascii="Calibri" w:hAnsi="Calibri"/>
      <w:szCs w:val="22"/>
    </w:rPr>
  </w:style>
  <w:style w:type="paragraph" w:styleId="ab">
    <w:name w:val="List Paragraph"/>
    <w:basedOn w:val="a"/>
    <w:uiPriority w:val="34"/>
    <w:qFormat/>
    <w:pPr>
      <w:ind w:firstLineChars="200" w:firstLine="420"/>
    </w:pPr>
  </w:style>
  <w:style w:type="character" w:styleId="ac">
    <w:name w:val="Placeholder Text"/>
    <w:basedOn w:val="a0"/>
    <w:uiPriority w:val="99"/>
    <w:unhideWhenUsed/>
    <w:qFormat/>
    <w:rPr>
      <w:color w:val="808080"/>
    </w:rPr>
  </w:style>
  <w:style w:type="paragraph" w:styleId="ad">
    <w:name w:val="Normal (Web)"/>
    <w:basedOn w:val="a"/>
    <w:rsid w:val="0057101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3220</Words>
  <Characters>5251</Characters>
  <Application>Microsoft Office Word</Application>
  <DocSecurity>0</DocSecurity>
  <Lines>262</Lines>
  <Paragraphs>217</Paragraphs>
  <ScaleCrop>false</ScaleCrop>
  <Company>小熔工作室</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HuoBi  YinHangXue</dc:title>
  <dc:creator>ssp</dc:creator>
  <cp:lastModifiedBy>Huan Zou</cp:lastModifiedBy>
  <cp:revision>7</cp:revision>
  <cp:lastPrinted>2007-03-05T05:03:00Z</cp:lastPrinted>
  <dcterms:created xsi:type="dcterms:W3CDTF">2024-03-04T01:38:00Z</dcterms:created>
  <dcterms:modified xsi:type="dcterms:W3CDTF">2025-10-22T10:44:00Z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7F814BCBC7DD43DBBB26662B84EA1CAB_12</vt:lpwstr>
  </property>
  <property fmtid="{D5CDD505-2E9C-101B-9397-08002B2CF9AE}" pid="4" name="GrammarlyDocumentId">
    <vt:lpwstr>7fcad1efbc1686301f09a28ed706cd5e5080c0b020c148c1366086fccafca54a</vt:lpwstr>
  </property>
  <property fmtid="{D5CDD505-2E9C-101B-9397-08002B2CF9AE}" pid="5" name="KSOTemplateDocerSaveRecord">
    <vt:lpwstr>eyJoZGlkIjoiZjA4MDcwMDFiYWFlOWI5NjJjMjk2Zjk1ZGRmMTMxYWYiLCJ1c2VySWQiOiI0Mzk3NTczMTkifQ==</vt:lpwstr>
  </property>
</Properties>
</file>