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参考文献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[1]郭峰,陶旭辉.机器学习与社会科学中的因果关系：一个文献综述[J].经济学(季刊),2023,23(01):1-17.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</w:t>
      </w:r>
      <w:r>
        <w:rPr>
          <w:rFonts w:hint="eastAsia"/>
        </w:rPr>
        <w:t>郭峰,孔涛,王靖一.互联网金融空间集聚效应分析——来自互联网金融发展指数的证据[J].国际金融研究,2017(08):75-85.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[3]陶旭辉,郭峰.异质性政策效应评估与机器学习方法：研究进展与未来方向[J].管理世界,2023,39(11):216-237.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[4]刘甲炎, 范子英. 中国房产税试点的效果评估:基于合成控制法的研究[J]. 世界经济, 2013(11):117-135.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[5]刘友金,曾小明.房产税对产业转移的影响:来自重庆和上海的经验证据[J].中国工业经济,2018,(11):98-116.</w:t>
      </w:r>
    </w:p>
    <w:p>
      <w:pPr>
        <w:pStyle w:val="4"/>
        <w:tabs>
          <w:tab w:val="left" w:pos="7080"/>
        </w:tabs>
        <w:bidi w:val="0"/>
      </w:pPr>
      <w:r>
        <w:rPr>
          <w:rFonts w:hint="eastAsia"/>
          <w:lang w:val="en-US" w:eastAsia="zh-CN"/>
        </w:rPr>
        <w:t>[6]杨金玉.空气污染与高管流动研究——基于秦岭—淮河线的断点回归设计[J].南开经济研究,2021,(02):143-163.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[7] Bertand, M., Duflo, E., Mullainathan, S.,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How much should We Trust Difference-in-Difference Estimates?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The Quarterly Journal of Economics, 2004,119(1): 249-275.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[8]Bruce, R., Cavgias, A., Meloni, L., Remigio, M., 2022, </w:t>
      </w:r>
      <w:r>
        <w:rPr>
          <w:rFonts w:hint="default"/>
          <w:lang w:val="en-US" w:eastAsia="zh-CN"/>
        </w:rPr>
        <w:t>“</w:t>
      </w:r>
      <w:r>
        <w:rPr>
          <w:rFonts w:hint="eastAsia"/>
        </w:rPr>
        <w:t>Under Pressure: Women’s Leadership During the COVID-19 Crisis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Journal of Development Economics, 154:102761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[9]Chau, K. W., Wong, S. K., Yiu, C. Y., 2005,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Adjusting for Non-</w:t>
      </w:r>
      <w:r>
        <w:t>Linear Age Effects in the Repeat Sales Index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The Journal of Real Estate Finance and Economics,31:137-153.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[10]Cipollone, P., Rosolia, A., 2007, </w:t>
      </w:r>
      <w:r>
        <w:rPr>
          <w:rFonts w:hint="default"/>
          <w:lang w:val="en-US" w:eastAsia="zh-CN"/>
        </w:rPr>
        <w:t>“</w:t>
      </w:r>
      <w:r>
        <w:t>Social Interactions in High School: Lessons from an Earthquake</w:t>
      </w:r>
      <w:r>
        <w:rPr>
          <w:rFonts w:hint="default"/>
          <w:lang w:val="en-US" w:eastAsia="zh-CN"/>
        </w:rPr>
        <w:t>”</w:t>
      </w:r>
      <w:r>
        <w:t xml:space="preserve"> American Economic Review, 97 (3): 948-965.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[11] Chetty, R., Friedman, J. N., Leth-Petersen, S., Nielsen, T. H., Olsen, T.,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Active vs. Passive Decisions and Crowd-Out in Retirement Savings Accounts: Evidence from Denmark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The Quarterly Journal of Economics, 2014,129(3):1141-1219</w:t>
      </w:r>
    </w:p>
    <w:p>
      <w:pPr>
        <w:pStyle w:val="4"/>
        <w:tabs>
          <w:tab w:val="left" w:pos="7080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[12]Dehejia, R. H., Wahba, S., 1999,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 xml:space="preserve">Causal </w:t>
      </w:r>
      <w:r>
        <w:t>Effects in Nonexperimental Studies: Reevaluating the Evaluation of Training Programs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Journal of the American Statistical Association, 94(448):1053-1062.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[13]Gagliarducci, S., Paserman, M. D., 2021,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Gender Differences in Cooperative Environments? Evidence From the Us Congress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The Economic Journal, 132(641):218-257.</w:t>
      </w:r>
    </w:p>
    <w:p>
      <w:pPr>
        <w:pStyle w:val="4"/>
        <w:tabs>
          <w:tab w:val="left" w:pos="7080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[14] Goodman-Bacon, A.,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Difference-in-Difference with Variation in Treatment Timing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Journal of Econometrics,2021, 225(2): 254-277.</w:t>
      </w:r>
    </w:p>
    <w:p>
      <w:pPr>
        <w:pStyle w:val="4"/>
        <w:tabs>
          <w:tab w:val="left" w:pos="7080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[15]Hoxby, C. M., 2000, </w:t>
      </w:r>
      <w:r>
        <w:rPr>
          <w:rFonts w:hint="default"/>
          <w:lang w:val="en-US" w:eastAsia="zh-CN"/>
        </w:rPr>
        <w:t>“</w:t>
      </w:r>
      <w:r>
        <w:t>Does Competition among Public Schools Benefit Students and Taxpayers?</w:t>
      </w:r>
      <w:r>
        <w:rPr>
          <w:rFonts w:hint="default"/>
          <w:lang w:val="en-US" w:eastAsia="zh-CN"/>
        </w:rPr>
        <w:t>”</w:t>
      </w:r>
      <w:r>
        <w:t xml:space="preserve"> American Economic Review, 90 (5): 1209-1238.</w:t>
      </w:r>
    </w:p>
    <w:p>
      <w:pPr>
        <w:pStyle w:val="4"/>
        <w:tabs>
          <w:tab w:val="left" w:pos="7080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[16]Kleinberg, J., Ludwig, J., Mullainathan, S., Obermeyer, Z., 2015, </w:t>
      </w:r>
      <w:r>
        <w:rPr>
          <w:rFonts w:hint="default"/>
          <w:lang w:val="en-US" w:eastAsia="zh-CN"/>
        </w:rPr>
        <w:t>“</w:t>
      </w:r>
      <w:r>
        <w:rPr>
          <w:rFonts w:hint="eastAsia" w:eastAsia="楷体_GB2312"/>
          <w:sz w:val="24"/>
          <w:lang w:val="en-US" w:eastAsia="zh-CN"/>
        </w:rPr>
        <w:t>Prediction Policy Problems</w:t>
      </w:r>
      <w:r>
        <w:rPr>
          <w:rFonts w:hint="default"/>
          <w:sz w:val="24"/>
          <w:lang w:val="en-US" w:eastAsia="zh-CN"/>
        </w:rPr>
        <w:t>”</w:t>
      </w:r>
      <w:r>
        <w:rPr>
          <w:rFonts w:hint="eastAsia"/>
          <w:sz w:val="24"/>
          <w:lang w:val="en-US" w:eastAsia="zh-CN"/>
        </w:rPr>
        <w:t>, American Economic Review, 105(5):491-495.</w:t>
      </w:r>
    </w:p>
    <w:p>
      <w:pPr>
        <w:pStyle w:val="4"/>
        <w:tabs>
          <w:tab w:val="left" w:pos="7080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[17]Wong, S. K., Deng, K. K., Cheung, K. S., 2024, </w:t>
      </w:r>
      <w:r>
        <w:rPr>
          <w:rFonts w:hint="default"/>
          <w:lang w:val="en-US" w:eastAsia="zh-CN"/>
        </w:rPr>
        <w:t>“</w:t>
      </w:r>
      <w:r>
        <w:t>Starter Home Premium and Housing Affordability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The Journal of Real Estate Finance and Economics, 68:52-73.</w:t>
      </w:r>
    </w:p>
    <w:p>
      <w:pPr>
        <w:pStyle w:val="4"/>
        <w:tabs>
          <w:tab w:val="left" w:pos="7080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[18]Xu, Y., 2017,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Generalized Synthetic Control Method: Causal Inference with Interactive Fixed Effects Models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Political Analysis, 25(1):57-76.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DI3MWVmM2Q4NDNlYjU0NGViZWMxODNkNjZlNjQifQ=="/>
  </w:docVars>
  <w:rsids>
    <w:rsidRoot w:val="00000000"/>
    <w:rsid w:val="4588434F"/>
    <w:rsid w:val="74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报告正文"/>
    <w:basedOn w:val="1"/>
    <w:uiPriority w:val="0"/>
    <w:pPr>
      <w:spacing w:beforeAutospacing="0" w:afterAutospacing="0"/>
      <w:ind w:firstLine="0" w:firstLineChars="0"/>
    </w:pPr>
    <w:rPr>
      <w:rFonts w:ascii="Times New Roman" w:hAnsi="Times New Roman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2024-03-23T02:30:41Z</dcterms:created>
  <dc:creator>张志杰</dc:creator>
  <cp:lastModifiedBy>Die Retter</cp:lastModifiedBy>
  <dcterms:modified xsi:type="dcterms:W3CDTF">2024-03-23T03:46:34Z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52E6870E2CE14971B75D6DA2185B9ED1_12</vt:lpwstr>
  </property>
</Properties>
</file>