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B1EE4">
      <w:pPr>
        <w:shd w:val="clear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《创新创业前沿》教学大纲</w:t>
      </w:r>
    </w:p>
    <w:p w14:paraId="106D0FA7">
      <w:pPr>
        <w:shd w:val="clear"/>
        <w:jc w:val="center"/>
        <w:rPr>
          <w:color w:val="auto"/>
        </w:rPr>
      </w:pPr>
      <w:r>
        <w:rPr>
          <w:rFonts w:hint="eastAsia"/>
          <w:color w:val="auto"/>
        </w:rPr>
        <w:t>(20</w:t>
      </w:r>
      <w:r>
        <w:rPr>
          <w:color w:val="auto"/>
        </w:rPr>
        <w:t>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－20</w:t>
      </w:r>
      <w:r>
        <w:rPr>
          <w:rFonts w:hint="eastAsia"/>
          <w:color w:val="auto"/>
          <w:lang w:val="en-US" w:eastAsia="zh-CN"/>
        </w:rPr>
        <w:t>25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学期)</w:t>
      </w:r>
    </w:p>
    <w:p w14:paraId="3720C39D">
      <w:pPr>
        <w:shd w:val="clear"/>
        <w:jc w:val="center"/>
        <w:rPr>
          <w:color w:val="auto"/>
        </w:rPr>
      </w:pPr>
    </w:p>
    <w:p w14:paraId="0663B228">
      <w:pPr>
        <w:shd w:val="clear"/>
        <w:rPr>
          <w:color w:val="auto"/>
        </w:rPr>
      </w:pPr>
      <w:r>
        <w:rPr>
          <w:rFonts w:hint="eastAsia"/>
          <w:b/>
          <w:color w:val="auto"/>
        </w:rPr>
        <w:t xml:space="preserve">课程：                    </w:t>
      </w:r>
      <w:r>
        <w:rPr>
          <w:rFonts w:hint="eastAsia"/>
          <w:color w:val="auto"/>
        </w:rPr>
        <w:t>创新创业前沿（</w:t>
      </w:r>
      <w:r>
        <w:rPr>
          <w:color w:val="auto"/>
        </w:rPr>
        <w:t>Frontiers of Innovation and Entrepreneurship</w:t>
      </w:r>
      <w:r>
        <w:rPr>
          <w:rFonts w:hint="eastAsia"/>
          <w:color w:val="auto"/>
        </w:rPr>
        <w:t>）</w:t>
      </w:r>
    </w:p>
    <w:p w14:paraId="36EC0C5D">
      <w:pPr>
        <w:shd w:val="clear"/>
        <w:rPr>
          <w:color w:val="auto"/>
        </w:rPr>
      </w:pPr>
    </w:p>
    <w:p w14:paraId="7BAD764E">
      <w:pPr>
        <w:shd w:val="clear"/>
        <w:rPr>
          <w:color w:val="auto"/>
        </w:rPr>
      </w:pPr>
      <w:r>
        <w:rPr>
          <w:rFonts w:hint="eastAsia"/>
          <w:b/>
          <w:color w:val="auto"/>
        </w:rPr>
        <w:t>授课教师：</w:t>
      </w:r>
      <w:r>
        <w:rPr>
          <w:rFonts w:hint="eastAsia"/>
          <w:color w:val="auto"/>
        </w:rPr>
        <w:t xml:space="preserve">                刘志阳</w:t>
      </w:r>
    </w:p>
    <w:p w14:paraId="19DBF51D">
      <w:pPr>
        <w:shd w:val="clear"/>
        <w:rPr>
          <w:color w:val="auto"/>
        </w:rPr>
      </w:pPr>
      <w:r>
        <w:rPr>
          <w:rFonts w:hint="eastAsia"/>
          <w:color w:val="auto"/>
        </w:rPr>
        <w:t xml:space="preserve">                          答疑时间：预约或周</w:t>
      </w:r>
      <w:r>
        <w:rPr>
          <w:rFonts w:hint="eastAsia"/>
          <w:color w:val="auto"/>
          <w:lang w:val="en-US" w:eastAsia="zh-CN"/>
        </w:rPr>
        <w:t>五中午12</w:t>
      </w:r>
      <w:r>
        <w:rPr>
          <w:rFonts w:hint="eastAsia"/>
          <w:color w:val="auto"/>
        </w:rPr>
        <w:t>:30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4:</w:t>
      </w:r>
      <w:r>
        <w:rPr>
          <w:rFonts w:hint="eastAsia"/>
          <w:color w:val="auto"/>
          <w:lang w:val="en-US" w:eastAsia="zh-CN"/>
        </w:rPr>
        <w:t>0</w:t>
      </w:r>
      <w:r>
        <w:rPr>
          <w:rFonts w:hint="eastAsia"/>
          <w:color w:val="auto"/>
        </w:rPr>
        <w:t>0</w:t>
      </w:r>
    </w:p>
    <w:p w14:paraId="5BA181CE">
      <w:pPr>
        <w:shd w:val="clear"/>
        <w:rPr>
          <w:color w:val="auto"/>
        </w:rPr>
      </w:pPr>
      <w:r>
        <w:rPr>
          <w:rFonts w:hint="eastAsia"/>
          <w:color w:val="auto"/>
        </w:rPr>
        <w:t xml:space="preserve">                          办公室：创业中心2</w:t>
      </w:r>
      <w:r>
        <w:rPr>
          <w:color w:val="auto"/>
        </w:rPr>
        <w:t>06</w:t>
      </w:r>
    </w:p>
    <w:p w14:paraId="08D95252">
      <w:pPr>
        <w:shd w:val="clear"/>
        <w:rPr>
          <w:color w:val="auto"/>
          <w:u w:val="single"/>
        </w:rPr>
      </w:pPr>
      <w:r>
        <w:rPr>
          <w:rFonts w:hint="eastAsia"/>
          <w:color w:val="auto"/>
        </w:rPr>
        <w:t xml:space="preserve">                          Email: zhiyang</w:t>
      </w:r>
      <w:r>
        <w:rPr>
          <w:color w:val="auto"/>
        </w:rPr>
        <w:t>163@163.</w:t>
      </w:r>
      <w:r>
        <w:rPr>
          <w:rFonts w:hint="eastAsia"/>
          <w:color w:val="auto"/>
        </w:rPr>
        <w:t>com</w:t>
      </w:r>
    </w:p>
    <w:p w14:paraId="64802C1B">
      <w:pPr>
        <w:shd w:val="clear"/>
        <w:rPr>
          <w:b/>
          <w:color w:val="auto"/>
        </w:rPr>
      </w:pPr>
    </w:p>
    <w:p w14:paraId="17DF6C1A">
      <w:pPr>
        <w:shd w:val="clear"/>
        <w:rPr>
          <w:color w:val="auto"/>
        </w:rPr>
      </w:pPr>
      <w:r>
        <w:rPr>
          <w:rFonts w:hint="eastAsia"/>
          <w:b/>
          <w:color w:val="auto"/>
        </w:rPr>
        <w:t xml:space="preserve">课程类别：                </w:t>
      </w:r>
      <w:r>
        <w:rPr>
          <w:rFonts w:hint="eastAsia"/>
          <w:color w:val="auto"/>
        </w:rPr>
        <w:t>选修课</w:t>
      </w:r>
    </w:p>
    <w:p w14:paraId="4B80E6A3">
      <w:pPr>
        <w:shd w:val="clear"/>
        <w:rPr>
          <w:b/>
          <w:color w:val="auto"/>
        </w:rPr>
      </w:pPr>
    </w:p>
    <w:p w14:paraId="0545F517">
      <w:pPr>
        <w:shd w:val="clear"/>
        <w:rPr>
          <w:color w:val="auto"/>
        </w:rPr>
      </w:pPr>
      <w:r>
        <w:rPr>
          <w:rFonts w:hint="eastAsia"/>
          <w:b/>
          <w:color w:val="auto"/>
        </w:rPr>
        <w:t>课程安排说明：</w:t>
      </w:r>
      <w:r>
        <w:rPr>
          <w:rFonts w:hint="eastAsia"/>
          <w:color w:val="auto"/>
        </w:rPr>
        <w:t xml:space="preserve">            20</w:t>
      </w:r>
      <w:r>
        <w:rPr>
          <w:color w:val="auto"/>
        </w:rPr>
        <w:t>24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日—20</w:t>
      </w:r>
      <w:r>
        <w:rPr>
          <w:color w:val="auto"/>
        </w:rPr>
        <w:t>24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11</w:t>
      </w:r>
      <w:r>
        <w:rPr>
          <w:rFonts w:hint="eastAsia"/>
          <w:color w:val="auto"/>
        </w:rPr>
        <w:t>月</w:t>
      </w:r>
      <w:r>
        <w:rPr>
          <w:color w:val="auto"/>
        </w:rPr>
        <w:t>1</w:t>
      </w:r>
      <w:r>
        <w:rPr>
          <w:rFonts w:hint="eastAsia"/>
          <w:color w:val="auto"/>
        </w:rPr>
        <w:t>日</w:t>
      </w:r>
    </w:p>
    <w:p w14:paraId="00702ABA">
      <w:pPr>
        <w:shd w:val="clear"/>
        <w:rPr>
          <w:color w:val="auto"/>
        </w:rPr>
      </w:pPr>
      <w:r>
        <w:rPr>
          <w:rFonts w:hint="eastAsia"/>
          <w:color w:val="auto"/>
        </w:rPr>
        <w:t xml:space="preserve">                          周五下午1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:</w:t>
      </w:r>
      <w:r>
        <w:rPr>
          <w:rFonts w:hint="eastAsia"/>
          <w:color w:val="auto"/>
          <w:lang w:val="en-US" w:eastAsia="zh-CN"/>
        </w:rPr>
        <w:t>15-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:</w:t>
      </w:r>
      <w:r>
        <w:rPr>
          <w:rFonts w:hint="eastAsia"/>
          <w:color w:val="auto"/>
          <w:lang w:val="en-US" w:eastAsia="zh-CN"/>
        </w:rPr>
        <w:t>10</w:t>
      </w:r>
      <w:r>
        <w:rPr>
          <w:rFonts w:hint="eastAsia"/>
          <w:color w:val="auto"/>
        </w:rPr>
        <w:t xml:space="preserve"> </w:t>
      </w:r>
    </w:p>
    <w:p w14:paraId="28DBB1EC">
      <w:pPr>
        <w:shd w:val="clear"/>
        <w:ind w:firstLine="2730" w:firstLineChars="1300"/>
        <w:rPr>
          <w:color w:val="auto"/>
        </w:rPr>
      </w:pPr>
      <w:r>
        <w:rPr>
          <w:rFonts w:hint="eastAsia"/>
          <w:color w:val="auto"/>
        </w:rPr>
        <w:t>授课地点：创业中心</w:t>
      </w:r>
      <w:r>
        <w:rPr>
          <w:rFonts w:hint="eastAsia"/>
          <w:color w:val="auto"/>
          <w:lang w:val="en-US" w:eastAsia="zh-CN"/>
        </w:rPr>
        <w:t>S</w:t>
      </w:r>
      <w:r>
        <w:rPr>
          <w:rFonts w:hint="eastAsia"/>
          <w:color w:val="auto"/>
        </w:rPr>
        <w:t>Lab</w:t>
      </w:r>
    </w:p>
    <w:p w14:paraId="2F8B4121">
      <w:pPr>
        <w:shd w:val="clear"/>
        <w:rPr>
          <w:b/>
          <w:color w:val="auto"/>
        </w:rPr>
      </w:pPr>
      <w:r>
        <w:rPr>
          <w:rFonts w:hint="eastAsia"/>
          <w:b/>
          <w:color w:val="auto"/>
        </w:rPr>
        <w:t>教学学时分配表：</w:t>
      </w:r>
    </w:p>
    <w:p w14:paraId="32C6098D">
      <w:pPr>
        <w:shd w:val="clear"/>
        <w:rPr>
          <w:b/>
          <w:color w:val="auto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21"/>
        <w:gridCol w:w="1559"/>
        <w:gridCol w:w="1559"/>
        <w:gridCol w:w="1043"/>
      </w:tblGrid>
      <w:tr w14:paraId="48DA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BB7264"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学分</w:t>
            </w:r>
          </w:p>
        </w:tc>
        <w:tc>
          <w:tcPr>
            <w:tcW w:w="1420" w:type="dxa"/>
          </w:tcPr>
          <w:p w14:paraId="2F7C2ABC"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总学时</w:t>
            </w:r>
          </w:p>
        </w:tc>
        <w:tc>
          <w:tcPr>
            <w:tcW w:w="1521" w:type="dxa"/>
          </w:tcPr>
          <w:p w14:paraId="32FCED21"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理论教学学时</w:t>
            </w:r>
          </w:p>
        </w:tc>
        <w:tc>
          <w:tcPr>
            <w:tcW w:w="1559" w:type="dxa"/>
          </w:tcPr>
          <w:p w14:paraId="70B2DB9A"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实践教学学时</w:t>
            </w:r>
          </w:p>
        </w:tc>
        <w:tc>
          <w:tcPr>
            <w:tcW w:w="1559" w:type="dxa"/>
          </w:tcPr>
          <w:p w14:paraId="5F5C3A01"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实验教学学时</w:t>
            </w:r>
          </w:p>
        </w:tc>
        <w:tc>
          <w:tcPr>
            <w:tcW w:w="1043" w:type="dxa"/>
          </w:tcPr>
          <w:p w14:paraId="36DD6789">
            <w:pPr>
              <w:shd w:val="clear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</w:p>
        </w:tc>
      </w:tr>
      <w:tr w14:paraId="72A2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65F42D">
            <w:pPr>
              <w:shd w:val="clear"/>
              <w:jc w:val="center"/>
              <w:rPr>
                <w:rFonts w:hint="eastAsia" w:eastAsia="宋体"/>
                <w:i/>
                <w:color w:val="auto"/>
                <w:lang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1</m:t>
                </m:r>
              </m:oMath>
            </m:oMathPara>
          </w:p>
        </w:tc>
        <w:tc>
          <w:tcPr>
            <w:tcW w:w="1420" w:type="dxa"/>
          </w:tcPr>
          <w:p w14:paraId="5060F08C">
            <w:pPr>
              <w:shd w:val="clear"/>
              <w:jc w:val="center"/>
              <w:rPr>
                <w:rFonts w:hint="eastAsia" w:eastAsia="宋体"/>
                <w:color w:val="auto"/>
                <w:lang w:eastAsia="zh-CN"/>
              </w:rPr>
            </w:pPr>
            <m:oMathPara>
              <m:oMath>
                <m:r>
                  <m:rPr/>
                  <w:rPr>
                    <w:rFonts w:ascii="Cambria Math" w:hAnsi="Cambria Math"/>
                    <w:color w:val="auto"/>
                  </w:rPr>
                  <m:t>1</m:t>
                </m:r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6</m:t>
                </m:r>
              </m:oMath>
            </m:oMathPara>
          </w:p>
        </w:tc>
        <w:tc>
          <w:tcPr>
            <w:tcW w:w="1521" w:type="dxa"/>
          </w:tcPr>
          <w:p w14:paraId="51D91782">
            <w:pPr>
              <w:shd w:val="clear"/>
              <w:jc w:val="center"/>
              <w:rPr>
                <w:rFonts w:hint="eastAsia" w:eastAsia="宋体"/>
                <w:i/>
                <w:color w:val="auto"/>
                <w:lang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4</m:t>
                </m:r>
              </m:oMath>
            </m:oMathPara>
          </w:p>
        </w:tc>
        <w:tc>
          <w:tcPr>
            <w:tcW w:w="1559" w:type="dxa"/>
          </w:tcPr>
          <w:p w14:paraId="60B1E077">
            <w:pPr>
              <w:shd w:val="clear"/>
              <w:jc w:val="center"/>
              <w:rPr>
                <w:rFonts w:hint="default" w:eastAsia="宋体"/>
                <w:i/>
                <w:color w:val="auto"/>
                <w:lang w:val="en-US"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10</m:t>
                </m:r>
              </m:oMath>
            </m:oMathPara>
          </w:p>
        </w:tc>
        <w:tc>
          <w:tcPr>
            <w:tcW w:w="1559" w:type="dxa"/>
          </w:tcPr>
          <w:p w14:paraId="01C0155C">
            <w:pPr>
              <w:shd w:val="clear"/>
              <w:jc w:val="center"/>
              <w:rPr>
                <w:rFonts w:hint="eastAsia" w:eastAsia="宋体"/>
                <w:i/>
                <w:color w:val="auto"/>
                <w:lang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0</m:t>
                </m:r>
              </m:oMath>
            </m:oMathPara>
          </w:p>
        </w:tc>
        <w:tc>
          <w:tcPr>
            <w:tcW w:w="1043" w:type="dxa"/>
          </w:tcPr>
          <w:p w14:paraId="0F9CFC3F">
            <w:pPr>
              <w:shd w:val="clear"/>
              <w:jc w:val="center"/>
              <w:rPr>
                <w:rFonts w:hint="eastAsia" w:eastAsia="宋体"/>
                <w:i/>
                <w:color w:val="auto"/>
                <w:lang w:eastAsia="zh-CN"/>
              </w:rPr>
            </w:pPr>
            <m:oMathPara>
              <m:oMath>
                <m:r>
                  <m:rPr/>
                  <w:rPr>
                    <w:rFonts w:hint="default" w:ascii="Cambria Math" w:hAnsi="Cambria Math"/>
                    <w:color w:val="auto"/>
                    <w:lang w:val="en-US" w:eastAsia="zh-CN"/>
                  </w:rPr>
                  <m:t>2</m:t>
                </m:r>
              </m:oMath>
            </m:oMathPara>
          </w:p>
        </w:tc>
      </w:tr>
    </w:tbl>
    <w:p w14:paraId="1EE653D0">
      <w:pPr>
        <w:shd w:val="clear"/>
        <w:rPr>
          <w:b/>
          <w:color w:val="auto"/>
        </w:rPr>
      </w:pPr>
    </w:p>
    <w:p w14:paraId="4CD09363">
      <w:pPr>
        <w:shd w:val="clear"/>
        <w:rPr>
          <w:color w:val="auto"/>
        </w:rPr>
      </w:pPr>
      <w:r>
        <w:rPr>
          <w:rFonts w:hint="eastAsia"/>
          <w:b/>
          <w:color w:val="auto"/>
        </w:rPr>
        <w:t>课件网址：</w:t>
      </w:r>
      <w:r>
        <w:rPr>
          <w:rFonts w:hint="eastAsia"/>
          <w:color w:val="auto"/>
        </w:rPr>
        <w:t xml:space="preserve">              </w:t>
      </w:r>
    </w:p>
    <w:p w14:paraId="6A851434">
      <w:pPr>
        <w:shd w:val="clear"/>
        <w:rPr>
          <w:color w:val="auto"/>
        </w:rPr>
      </w:pPr>
    </w:p>
    <w:p w14:paraId="4EA1FFBD">
      <w:pPr>
        <w:shd w:val="clear"/>
        <w:rPr>
          <w:b/>
          <w:color w:val="auto"/>
        </w:rPr>
      </w:pPr>
      <w:r>
        <w:rPr>
          <w:rFonts w:hint="eastAsia"/>
          <w:b/>
          <w:color w:val="auto"/>
        </w:rPr>
        <w:t>教材和参考书目：</w:t>
      </w:r>
      <w:bookmarkStart w:id="0" w:name="_GoBack"/>
      <w:bookmarkEnd w:id="0"/>
    </w:p>
    <w:p w14:paraId="63905460">
      <w:pPr>
        <w:shd w:val="clear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>刘志阳 林嵩 路江涌：《创新创业基础》，机械工业出版社</w:t>
      </w:r>
      <w:r>
        <w:rPr>
          <w:rFonts w:hint="eastAsia"/>
          <w:color w:val="auto"/>
          <w:szCs w:val="21"/>
        </w:rPr>
        <w:t>，2</w:t>
      </w:r>
      <w:r>
        <w:rPr>
          <w:color w:val="auto"/>
          <w:szCs w:val="21"/>
        </w:rPr>
        <w:t>021</w:t>
      </w:r>
      <w:r>
        <w:rPr>
          <w:rFonts w:hint="eastAsia"/>
          <w:color w:val="auto"/>
          <w:szCs w:val="21"/>
        </w:rPr>
        <w:t>年；</w:t>
      </w:r>
    </w:p>
    <w:p w14:paraId="7008F4D7">
      <w:pPr>
        <w:shd w:val="clear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刘志阳：《中国创业七讲：创业型经济》，上海财经大学出版社，2</w:t>
      </w:r>
      <w:r>
        <w:rPr>
          <w:color w:val="auto"/>
          <w:szCs w:val="21"/>
        </w:rPr>
        <w:t>021</w:t>
      </w:r>
      <w:r>
        <w:rPr>
          <w:rFonts w:hint="eastAsia"/>
          <w:color w:val="auto"/>
          <w:szCs w:val="21"/>
        </w:rPr>
        <w:t>年；</w:t>
      </w:r>
    </w:p>
    <w:p w14:paraId="7BC049DB">
      <w:pPr>
        <w:shd w:val="clear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刘志阳：《中国创新五讲：创业型社会》，上海财经大学出版社，2</w:t>
      </w:r>
      <w:r>
        <w:rPr>
          <w:color w:val="auto"/>
          <w:szCs w:val="21"/>
        </w:rPr>
        <w:t>021</w:t>
      </w:r>
      <w:r>
        <w:rPr>
          <w:rFonts w:hint="eastAsia"/>
          <w:color w:val="auto"/>
          <w:szCs w:val="21"/>
        </w:rPr>
        <w:t>年。</w:t>
      </w:r>
    </w:p>
    <w:p w14:paraId="320AC09B">
      <w:pPr>
        <w:shd w:val="clear"/>
        <w:rPr>
          <w:b/>
          <w:color w:val="auto"/>
        </w:rPr>
      </w:pPr>
    </w:p>
    <w:p w14:paraId="085420D0">
      <w:pPr>
        <w:shd w:val="clear"/>
        <w:rPr>
          <w:color w:val="auto"/>
        </w:rPr>
      </w:pPr>
    </w:p>
    <w:p w14:paraId="2B81BDD2">
      <w:pPr>
        <w:shd w:val="clear"/>
        <w:rPr>
          <w:i/>
          <w:color w:val="auto"/>
        </w:rPr>
      </w:pPr>
      <w:r>
        <w:rPr>
          <w:b/>
          <w:color w:val="auto"/>
        </w:rPr>
        <w:t>课程达成目标：</w:t>
      </w:r>
    </w:p>
    <w:p w14:paraId="01FDF9D6">
      <w:pPr>
        <w:shd w:val="clear"/>
        <w:tabs>
          <w:tab w:val="left" w:pos="3610"/>
        </w:tabs>
        <w:ind w:firstLine="420" w:firstLineChars="200"/>
        <w:rPr>
          <w:color w:val="auto"/>
        </w:rPr>
      </w:pPr>
      <w:r>
        <w:rPr>
          <w:rFonts w:hint="eastAsia"/>
          <w:color w:val="auto"/>
        </w:rPr>
        <w:t>《创新创业前沿》课程旨在培养学生具备创新创业的基本素质和综合能力。通过本课程的学习，学生将掌握创新创业的基本理论和方法，了解国内外创新创业的最新动态和趋势。在专业技能方面，学生将学会如何识别商业机会、制定创业计划、组织创业团队、管理创业项目等实际操作技能。在专业知识方面，学生将深入了解创新创业相关的创业机会、创业团队、商业模式、初创营销和初创财务等专业知识，并能够综合运用这些知识解决实际问题。在实践方面，会带领学生深入创新创业典型企业进行一线走访调研，掌握行业发展前沿动态并和业界专家交流互动。此外，本课程还将注重培养学生的创新思维和创业精神，激发学生的创造力和创新精神，培养学生的团队协作和沟通能力，提高学生的综合素质和竞争力。通过本课程的学习，学生不仅能够掌握创新创业的专业知识和技能，还能够树立正确的创新创业观念和价值观，具备承担社会责任和推动社会进步的能力。</w:t>
      </w:r>
    </w:p>
    <w:p w14:paraId="418679DA">
      <w:pPr>
        <w:shd w:val="clear"/>
        <w:tabs>
          <w:tab w:val="left" w:pos="3610"/>
        </w:tabs>
        <w:ind w:firstLine="420" w:firstLineChars="200"/>
        <w:rPr>
          <w:color w:val="auto"/>
        </w:rPr>
      </w:pPr>
    </w:p>
    <w:p w14:paraId="29B34F12">
      <w:pPr>
        <w:shd w:val="clear"/>
        <w:rPr>
          <w:b/>
          <w:color w:val="auto"/>
        </w:rPr>
      </w:pPr>
      <w:r>
        <w:rPr>
          <w:b/>
          <w:color w:val="auto"/>
        </w:rPr>
        <w:t>课程设置知识要求：</w:t>
      </w:r>
    </w:p>
    <w:p w14:paraId="43F820E2">
      <w:pPr>
        <w:shd w:val="clear"/>
        <w:ind w:firstLine="410"/>
        <w:rPr>
          <w:rFonts w:hint="eastAsia"/>
          <w:color w:val="auto"/>
        </w:rPr>
      </w:pPr>
      <w:r>
        <w:rPr>
          <w:rFonts w:hint="eastAsia"/>
          <w:color w:val="auto"/>
        </w:rPr>
        <w:t>《创新创业前沿》课程是一门综合性、实践性强的课程，主要以学生的兴趣为导向，不要求前提的知识储备。但在学习本课程之前，建议学生具备一定的人文素养、数学基础、计算机技能和经济管理知识。人文素养有助于学生理解社会现象，把握市场趋势；数学基础则能够培养学生的逻辑思维和数据分析能力；计算机技能则是现代创新创业不可或缺的工具，有助于学生高效处理信息和进行项目管理；经济管理知识则为学生提供了商业运作和资源配置的基本框架。</w:t>
      </w:r>
    </w:p>
    <w:p w14:paraId="77BE18DF">
      <w:pPr>
        <w:shd w:val="clear"/>
        <w:ind w:firstLine="410"/>
        <w:rPr>
          <w:color w:val="auto"/>
        </w:rPr>
      </w:pPr>
      <w:r>
        <w:rPr>
          <w:rFonts w:hint="eastAsia"/>
          <w:color w:val="auto"/>
        </w:rPr>
        <w:t>通过学习《创新创业前沿》课程，学生应能够全面理解创新创业的内涵和要求，掌握市场分析、商业计划书撰写、团队协作、项目管理等核心技能。同时，学生应具备创新思维和创业精神，能够独立思考、发现问题并提出解决方案。此外，学生还应了解创新创业领域的法律法规和知识产权保护，确保商业活动的合规性和创新性。总之，学完该课程后，学生应具备扎实的专业知识基础、全面的创新创业能力和良好的综合素质，为未来的创业道路奠定坚实基础。</w:t>
      </w:r>
    </w:p>
    <w:p w14:paraId="268653D4">
      <w:pPr>
        <w:shd w:val="clear"/>
        <w:ind w:firstLine="410"/>
        <w:rPr>
          <w:rFonts w:hint="eastAsia"/>
          <w:color w:val="auto"/>
        </w:rPr>
      </w:pPr>
    </w:p>
    <w:p w14:paraId="189A2192">
      <w:pPr>
        <w:shd w:val="clear"/>
        <w:rPr>
          <w:i/>
          <w:color w:val="auto"/>
          <w:sz w:val="22"/>
        </w:rPr>
      </w:pPr>
      <w:r>
        <w:rPr>
          <w:b/>
          <w:color w:val="auto"/>
        </w:rPr>
        <w:t>课程设置能力要求</w:t>
      </w:r>
      <w:r>
        <w:rPr>
          <w:color w:val="auto"/>
        </w:rPr>
        <w:t>：</w:t>
      </w:r>
    </w:p>
    <w:p w14:paraId="0B026E19">
      <w:pPr>
        <w:shd w:val="clear"/>
        <w:rPr>
          <w:rFonts w:hint="eastAsia"/>
          <w:color w:val="auto"/>
        </w:rPr>
      </w:pPr>
      <w:r>
        <w:rPr>
          <w:color w:val="auto"/>
        </w:rPr>
        <w:tab/>
      </w:r>
      <w:r>
        <w:rPr>
          <w:rFonts w:hint="eastAsia"/>
          <w:color w:val="auto"/>
        </w:rPr>
        <w:t>《创新创业前沿》课程在能力培养方面，采用了多样化的授课方式和灵活多样的教学方法相结合的策略。通过线上线下的混合教学模式，课程将理论知识与实践操作相结合，以培养学生的创新创业能力为核心目标。首先，通过案例分析的教学方法，学生将学习如何分析和解决真实世界的创新创业问题。这种方法使学生能够将理论知识应用于实践，培养他们的问题解决能力和批判性思维。其次，课程采用小组讨论和角色扮演的教学方法，以培养学生的团队协作和沟通能力。通过小组讨论，学生可以相互学习、交流和分享想法，锻炼团队协作的能力；而角色扮演则帮助学生模拟真实的商业环境，培养他们在创业过程中的沟通和协调能力。此外，课程还引入项目驱动的教学方法，让学生在实践中掌握创新创业的实际操作技能。学生将分组进行创业项目的策划和实施，通过实际操作，他们将学会如何识别商业机会、制定创业计划、组织创业团队和管理创业项目等。最后，课程还将注重培养学生的创新思维和创业精神。通过创新思维的训练和创业实践的体验，学生将激发创造力和创新精神，培养勇于尝试、敢于冒险的创业心态。</w:t>
      </w:r>
    </w:p>
    <w:p w14:paraId="2113C5E3">
      <w:pPr>
        <w:shd w:val="clear"/>
        <w:rPr>
          <w:rFonts w:hint="eastAsia"/>
          <w:color w:val="auto"/>
        </w:rPr>
      </w:pPr>
    </w:p>
    <w:p w14:paraId="28A4834A">
      <w:pPr>
        <w:shd w:val="clear"/>
        <w:rPr>
          <w:rFonts w:hint="eastAsia"/>
          <w:b/>
          <w:color w:val="auto"/>
          <w:lang w:val="en-US" w:eastAsia="zh-CN"/>
        </w:rPr>
      </w:pPr>
      <w:r>
        <w:rPr>
          <w:rFonts w:hint="eastAsia"/>
          <w:b/>
          <w:color w:val="auto"/>
          <w:lang w:val="en-US" w:eastAsia="zh-CN"/>
        </w:rPr>
        <w:t>课程思政建设内容：</w:t>
      </w:r>
    </w:p>
    <w:p w14:paraId="1BEE836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《创新创业前沿》课程在思政内容建设方面，通过课前调研、参访前沿企业及互动讨论的形式，将思想政治建设与专业知识同步培养，引导学生</w:t>
      </w:r>
      <w:r>
        <w:rPr>
          <w:rFonts w:hint="eastAsia"/>
        </w:rPr>
        <w:t>以习近平新时代中国特色社会主义思想为指导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关注国家重点行业及重要政策并进行深入思考，培养学生的</w:t>
      </w:r>
      <w:r>
        <w:rPr>
          <w:rFonts w:hint="eastAsia"/>
        </w:rPr>
        <w:t>理想信念、价值取向、政治信仰、社会责任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全面提高学生</w:t>
      </w:r>
      <w:r>
        <w:rPr>
          <w:rFonts w:hint="eastAsia"/>
        </w:rPr>
        <w:t>缘事析理、明辨是非的能力让学生成为德才兼备、全面发展的人才。</w:t>
      </w:r>
    </w:p>
    <w:p w14:paraId="3C2429FC">
      <w:pPr>
        <w:shd w:val="clear"/>
        <w:rPr>
          <w:rFonts w:hint="default"/>
          <w:color w:val="auto"/>
          <w:lang w:val="en-US" w:eastAsia="zh-CN"/>
        </w:rPr>
      </w:pPr>
    </w:p>
    <w:p w14:paraId="261AA608">
      <w:pPr>
        <w:shd w:val="clear"/>
        <w:tabs>
          <w:tab w:val="left" w:pos="3610"/>
        </w:tabs>
        <w:rPr>
          <w:b/>
          <w:color w:val="auto"/>
        </w:rPr>
      </w:pPr>
      <w:r>
        <w:rPr>
          <w:rFonts w:hint="eastAsia"/>
          <w:b/>
          <w:color w:val="auto"/>
        </w:rPr>
        <w:t>考核形式：</w:t>
      </w:r>
    </w:p>
    <w:p w14:paraId="47FB555D">
      <w:pPr>
        <w:shd w:val="clear"/>
        <w:tabs>
          <w:tab w:val="left" w:pos="459"/>
        </w:tabs>
        <w:rPr>
          <w:color w:val="auto"/>
        </w:rPr>
      </w:pPr>
      <w:r>
        <w:rPr>
          <w:color w:val="auto"/>
        </w:rPr>
        <w:tab/>
      </w:r>
      <w:r>
        <w:rPr>
          <w:rFonts w:hint="eastAsia"/>
          <w:color w:val="auto"/>
        </w:rPr>
        <w:t>期末</w:t>
      </w:r>
      <w:r>
        <w:rPr>
          <w:color w:val="auto"/>
        </w:rPr>
        <w:t>考试采用</w:t>
      </w:r>
      <w:r>
        <w:rPr>
          <w:rFonts w:hint="eastAsia"/>
          <w:color w:val="auto"/>
        </w:rPr>
        <w:t>结课论文</w:t>
      </w:r>
      <w:r>
        <w:rPr>
          <w:color w:val="auto"/>
        </w:rPr>
        <w:t>方式</w:t>
      </w:r>
      <w:r>
        <w:rPr>
          <w:rFonts w:hint="eastAsia"/>
          <w:color w:val="auto"/>
        </w:rPr>
        <w:t>，学生的最后的总分计算方法如下：</w:t>
      </w:r>
    </w:p>
    <w:p w14:paraId="3B8A6C49">
      <w:pPr>
        <w:shd w:val="clear"/>
        <w:tabs>
          <w:tab w:val="left" w:pos="3610"/>
        </w:tabs>
        <w:ind w:firstLine="435"/>
        <w:rPr>
          <w:color w:val="auto"/>
        </w:rPr>
      </w:pPr>
      <w:r>
        <w:rPr>
          <w:rFonts w:hint="eastAsia"/>
          <w:color w:val="auto"/>
        </w:rPr>
        <w:t xml:space="preserve">考    勤                           </w:t>
      </w:r>
      <w:r>
        <w:rPr>
          <w:color w:val="auto"/>
        </w:rPr>
        <w:t>10</w:t>
      </w:r>
      <w:r>
        <w:rPr>
          <w:rFonts w:hint="eastAsia"/>
          <w:color w:val="auto"/>
        </w:rPr>
        <w:t>%</w:t>
      </w:r>
    </w:p>
    <w:p w14:paraId="0BDCC7CF">
      <w:pPr>
        <w:shd w:val="clear"/>
        <w:tabs>
          <w:tab w:val="left" w:pos="3610"/>
        </w:tabs>
        <w:ind w:firstLine="435"/>
        <w:rPr>
          <w:color w:val="auto"/>
        </w:rPr>
      </w:pPr>
      <w:r>
        <w:rPr>
          <w:rFonts w:hint="eastAsia"/>
          <w:color w:val="auto"/>
        </w:rPr>
        <w:t xml:space="preserve">参访作业（小组）                   </w:t>
      </w:r>
      <w:r>
        <w:rPr>
          <w:color w:val="auto"/>
        </w:rPr>
        <w:t>30</w:t>
      </w:r>
      <w:r>
        <w:rPr>
          <w:rFonts w:hint="eastAsia"/>
          <w:color w:val="auto"/>
        </w:rPr>
        <w:t>%</w:t>
      </w:r>
    </w:p>
    <w:p w14:paraId="1FB47FBF">
      <w:pPr>
        <w:shd w:val="clear"/>
        <w:tabs>
          <w:tab w:val="left" w:pos="3610"/>
        </w:tabs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期末</w:t>
      </w:r>
      <w:r>
        <w:rPr>
          <w:rFonts w:hint="eastAsia"/>
          <w:color w:val="auto"/>
        </w:rPr>
        <w:t xml:space="preserve">报告 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 xml:space="preserve">                </w:t>
      </w:r>
      <w:r>
        <w:rPr>
          <w:color w:val="auto"/>
        </w:rPr>
        <w:t xml:space="preserve">         60</w:t>
      </w:r>
      <w:r>
        <w:rPr>
          <w:rFonts w:hint="eastAsia"/>
          <w:color w:val="auto"/>
        </w:rPr>
        <w:t>%</w:t>
      </w:r>
    </w:p>
    <w:p w14:paraId="67FEF856">
      <w:pPr>
        <w:shd w:val="clear"/>
        <w:tabs>
          <w:tab w:val="left" w:pos="3610"/>
        </w:tabs>
        <w:rPr>
          <w:color w:val="auto"/>
        </w:rPr>
      </w:pPr>
    </w:p>
    <w:p w14:paraId="3C5B54E1">
      <w:pPr>
        <w:shd w:val="clear"/>
        <w:tabs>
          <w:tab w:val="left" w:pos="3610"/>
        </w:tabs>
        <w:rPr>
          <w:b/>
          <w:color w:val="auto"/>
        </w:rPr>
      </w:pPr>
      <w:r>
        <w:rPr>
          <w:rFonts w:hint="eastAsia"/>
          <w:b/>
          <w:color w:val="auto"/>
        </w:rPr>
        <w:t>学术诚实</w:t>
      </w:r>
    </w:p>
    <w:p w14:paraId="4D2A34AC">
      <w:pPr>
        <w:shd w:val="clear"/>
        <w:tabs>
          <w:tab w:val="left" w:pos="3610"/>
        </w:tabs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color w:val="auto"/>
        </w:rPr>
        <w:t xml:space="preserve">    涉及学生的学术不诚实问题主要包括考试作弊；抄袭；伪造或不当使用在校学习成绩；未经老师允许获取、利用考试材料。对于学术不诚实的最低惩罚是考试给予0分。其它的惩罚包括报告学校相关部门并按照有关规定进行处理。</w:t>
      </w:r>
      <w:r>
        <w:rPr>
          <w:rFonts w:hint="eastAsia"/>
          <w:b/>
          <w:color w:val="auto"/>
          <w:sz w:val="36"/>
          <w:szCs w:val="36"/>
        </w:rPr>
        <w:br w:type="page"/>
      </w:r>
    </w:p>
    <w:p w14:paraId="565C6BA7">
      <w:pPr>
        <w:shd w:val="clear"/>
        <w:tabs>
          <w:tab w:val="left" w:pos="3610"/>
        </w:tabs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创新创业前沿教学要点</w:t>
      </w:r>
    </w:p>
    <w:p w14:paraId="2B12BAE2">
      <w:pPr>
        <w:shd w:val="clear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教学大纲</w:t>
      </w:r>
    </w:p>
    <w:p w14:paraId="5D88419F">
      <w:pPr>
        <w:shd w:val="clear"/>
        <w:jc w:val="center"/>
        <w:rPr>
          <w:rFonts w:hint="eastAsia" w:eastAsia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>具体课程内容根据情况或有调整</w:t>
      </w:r>
      <w:r>
        <w:rPr>
          <w:rFonts w:hint="eastAsia"/>
          <w:b w:val="0"/>
          <w:bCs/>
          <w:color w:val="auto"/>
          <w:sz w:val="24"/>
          <w:szCs w:val="24"/>
          <w:lang w:eastAsia="zh-CN"/>
        </w:rPr>
        <w:t>）</w:t>
      </w:r>
    </w:p>
    <w:p w14:paraId="248028F3">
      <w:pPr>
        <w:shd w:val="clear"/>
        <w:rPr>
          <w:b/>
          <w:color w:val="auto"/>
          <w:szCs w:val="21"/>
        </w:rPr>
      </w:pPr>
    </w:p>
    <w:p w14:paraId="1C4CCCC9">
      <w:pPr>
        <w:shd w:val="clear"/>
        <w:jc w:val="center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第一讲 数字时代的新变革：元宇宙与大模型</w:t>
      </w:r>
    </w:p>
    <w:p w14:paraId="024735F0">
      <w:pPr>
        <w:widowControl/>
        <w:numPr>
          <w:ilvl w:val="0"/>
          <w:numId w:val="1"/>
        </w:numPr>
        <w:shd w:val="clear" w:color="auto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ascii="Segoe UI" w:hAnsi="Segoe UI" w:cs="Segoe UI"/>
          <w:b/>
          <w:bCs/>
          <w:color w:val="auto"/>
          <w:kern w:val="0"/>
          <w:sz w:val="23"/>
          <w:szCs w:val="23"/>
        </w:rPr>
        <w:t>元宇宙概述</w:t>
      </w:r>
    </w:p>
    <w:p w14:paraId="3748D3A7">
      <w:pPr>
        <w:widowControl/>
        <w:numPr>
          <w:ilvl w:val="0"/>
          <w:numId w:val="2"/>
        </w:numPr>
        <w:shd w:val="clear" w:color="auto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ascii="PingFang-SC-Regular" w:hAnsi="PingFang-SC-Regular" w:cs="Segoe UI"/>
          <w:color w:val="auto"/>
          <w:kern w:val="0"/>
          <w:sz w:val="23"/>
          <w:szCs w:val="23"/>
        </w:rPr>
        <w:t>定义与起源</w:t>
      </w:r>
    </w:p>
    <w:p w14:paraId="071312BA">
      <w:pPr>
        <w:widowControl/>
        <w:numPr>
          <w:ilvl w:val="0"/>
          <w:numId w:val="2"/>
        </w:numPr>
        <w:shd w:val="clear" w:color="auto"/>
        <w:spacing w:before="30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ascii="PingFang-SC-Regular" w:hAnsi="PingFang-SC-Regular" w:cs="Segoe UI"/>
          <w:color w:val="auto"/>
          <w:kern w:val="0"/>
          <w:sz w:val="23"/>
          <w:szCs w:val="23"/>
        </w:rPr>
        <w:t>元宇宙与虚拟现实、增强现实的关系</w:t>
      </w:r>
    </w:p>
    <w:p w14:paraId="18B7DC77">
      <w:pPr>
        <w:widowControl/>
        <w:numPr>
          <w:ilvl w:val="0"/>
          <w:numId w:val="2"/>
        </w:numPr>
        <w:shd w:val="clear" w:color="auto"/>
        <w:spacing w:before="30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ascii="PingFang-SC-Regular" w:hAnsi="PingFang-SC-Regular" w:cs="Segoe UI"/>
          <w:color w:val="auto"/>
          <w:kern w:val="0"/>
          <w:sz w:val="23"/>
          <w:szCs w:val="23"/>
        </w:rPr>
        <w:t>元宇宙的特点与潜力</w:t>
      </w:r>
    </w:p>
    <w:p w14:paraId="7EA2766F">
      <w:pPr>
        <w:widowControl/>
        <w:numPr>
          <w:ilvl w:val="0"/>
          <w:numId w:val="3"/>
        </w:numPr>
        <w:shd w:val="clear" w:color="auto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ascii="Segoe UI" w:hAnsi="Segoe UI" w:cs="Segoe UI"/>
          <w:b/>
          <w:bCs/>
          <w:color w:val="auto"/>
          <w:kern w:val="0"/>
          <w:sz w:val="23"/>
          <w:szCs w:val="23"/>
        </w:rPr>
        <w:t>大模型介绍</w:t>
      </w:r>
    </w:p>
    <w:p w14:paraId="5C81DC48">
      <w:pPr>
        <w:widowControl/>
        <w:numPr>
          <w:ilvl w:val="0"/>
          <w:numId w:val="4"/>
        </w:numPr>
        <w:shd w:val="clear" w:color="auto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ascii="PingFang-SC-Regular" w:hAnsi="PingFang-SC-Regular" w:cs="Segoe UI"/>
          <w:color w:val="auto"/>
          <w:kern w:val="0"/>
          <w:sz w:val="23"/>
          <w:szCs w:val="23"/>
        </w:rPr>
        <w:t>大模型的定义与分类</w:t>
      </w:r>
    </w:p>
    <w:p w14:paraId="6DD6C31A">
      <w:pPr>
        <w:widowControl/>
        <w:numPr>
          <w:ilvl w:val="0"/>
          <w:numId w:val="4"/>
        </w:numPr>
        <w:shd w:val="clear" w:color="auto"/>
        <w:spacing w:before="30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ascii="PingFang-SC-Regular" w:hAnsi="PingFang-SC-Regular" w:cs="Segoe UI"/>
          <w:color w:val="auto"/>
          <w:kern w:val="0"/>
          <w:sz w:val="23"/>
          <w:szCs w:val="23"/>
        </w:rPr>
        <w:t>大模型在数据分析、预测等方面的应用</w:t>
      </w:r>
    </w:p>
    <w:p w14:paraId="58ECD01E">
      <w:pPr>
        <w:widowControl/>
        <w:numPr>
          <w:ilvl w:val="0"/>
          <w:numId w:val="4"/>
        </w:numPr>
        <w:shd w:val="clear" w:color="auto"/>
        <w:spacing w:before="30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ascii="PingFang-SC-Regular" w:hAnsi="PingFang-SC-Regular" w:cs="Segoe UI"/>
          <w:color w:val="auto"/>
          <w:kern w:val="0"/>
          <w:sz w:val="23"/>
          <w:szCs w:val="23"/>
        </w:rPr>
        <w:t>大模型与人工智能的结合及其在各行各业的应用</w:t>
      </w:r>
    </w:p>
    <w:p w14:paraId="38751D54">
      <w:pPr>
        <w:widowControl/>
        <w:numPr>
          <w:ilvl w:val="0"/>
          <w:numId w:val="5"/>
        </w:numPr>
        <w:shd w:val="clear" w:color="auto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ascii="Segoe UI" w:hAnsi="Segoe UI" w:cs="Segoe UI"/>
          <w:b/>
          <w:bCs/>
          <w:color w:val="auto"/>
          <w:kern w:val="0"/>
          <w:sz w:val="23"/>
          <w:szCs w:val="23"/>
        </w:rPr>
        <w:t>元宇宙与大模型的融合</w:t>
      </w:r>
    </w:p>
    <w:p w14:paraId="3D351EC0">
      <w:pPr>
        <w:widowControl/>
        <w:numPr>
          <w:ilvl w:val="0"/>
          <w:numId w:val="0"/>
        </w:numPr>
        <w:shd w:val="clear" w:color="auto"/>
        <w:ind w:left="720" w:leftChars="0" w:hanging="360" w:firstLineChars="0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Symbol" w:hAnsi="Symbol" w:cs="Segoe UI"/>
          <w:color w:val="auto"/>
          <w:kern w:val="0"/>
          <w:sz w:val="20"/>
          <w:szCs w:val="23"/>
          <w:lang w:val="en-US" w:eastAsia="zh-CN" w:bidi="ar-SA"/>
        </w:rPr>
        <w:t xml:space="preserve">      </w:t>
      </w:r>
      <w:r>
        <w:rPr>
          <w:rFonts w:ascii="PingFang-SC-Regular" w:hAnsi="PingFang-SC-Regular" w:cs="Segoe UI"/>
          <w:color w:val="auto"/>
          <w:kern w:val="0"/>
          <w:sz w:val="23"/>
          <w:szCs w:val="23"/>
        </w:rPr>
        <w:t>元宇宙中的大模型应用</w:t>
      </w:r>
    </w:p>
    <w:p w14:paraId="5F6821B6">
      <w:pPr>
        <w:widowControl/>
        <w:numPr>
          <w:ilvl w:val="0"/>
          <w:numId w:val="0"/>
        </w:numPr>
        <w:shd w:val="clear" w:color="auto"/>
        <w:spacing w:before="30"/>
        <w:ind w:left="720" w:leftChars="0" w:hanging="360" w:firstLineChars="0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Symbol" w:hAnsi="Symbol" w:cs="Segoe UI"/>
          <w:color w:val="auto"/>
          <w:kern w:val="0"/>
          <w:sz w:val="20"/>
          <w:szCs w:val="23"/>
          <w:lang w:val="en-US" w:eastAsia="zh-CN" w:bidi="ar-SA"/>
        </w:rPr>
        <w:t xml:space="preserve">      </w:t>
      </w:r>
      <w:r>
        <w:rPr>
          <w:rFonts w:ascii="PingFang-SC-Regular" w:hAnsi="PingFang-SC-Regular" w:cs="Segoe UI"/>
          <w:color w:val="auto"/>
          <w:kern w:val="0"/>
          <w:sz w:val="23"/>
          <w:szCs w:val="23"/>
        </w:rPr>
        <w:t>大模型如何推动元宇宙的发展</w:t>
      </w:r>
    </w:p>
    <w:p w14:paraId="63CE3237">
      <w:pPr>
        <w:widowControl/>
        <w:numPr>
          <w:ilvl w:val="0"/>
          <w:numId w:val="0"/>
        </w:numPr>
        <w:shd w:val="clear" w:color="auto"/>
        <w:spacing w:before="30"/>
        <w:ind w:left="720" w:leftChars="0" w:hanging="360" w:firstLineChars="0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Symbol" w:hAnsi="Symbol" w:cs="Segoe UI"/>
          <w:color w:val="auto"/>
          <w:kern w:val="0"/>
          <w:sz w:val="20"/>
          <w:szCs w:val="23"/>
          <w:lang w:val="en-US" w:eastAsia="zh-CN" w:bidi="ar-SA"/>
        </w:rPr>
        <w:t xml:space="preserve">      </w:t>
      </w:r>
      <w:r>
        <w:rPr>
          <w:rFonts w:ascii="PingFang-SC-Regular" w:hAnsi="PingFang-SC-Regular" w:cs="Segoe UI"/>
          <w:color w:val="auto"/>
          <w:kern w:val="0"/>
          <w:sz w:val="23"/>
          <w:szCs w:val="23"/>
        </w:rPr>
        <w:t>元宇宙与大模型结合的未来趋势与挑战</w:t>
      </w:r>
    </w:p>
    <w:p w14:paraId="547037FA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ascii="PingFang-SC-Regular" w:hAnsi="PingFang-SC-Regular" w:cs="Segoe UI"/>
          <w:color w:val="auto"/>
          <w:kern w:val="0"/>
          <w:sz w:val="23"/>
          <w:szCs w:val="23"/>
        </w:rPr>
      </w:pPr>
    </w:p>
    <w:p w14:paraId="6E09DFCD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default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>思政建设内容：通过讲解元宇宙与大模型的基础知识及融合应用，帮助学生获取相关知识，树立紧跟时代发展潮流的意识，在学习的同时思考如何将元宇宙知识应用于行业及国家发展中，应对未来发展的挑战。</w:t>
      </w:r>
    </w:p>
    <w:p w14:paraId="016FA1C3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center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</w:p>
    <w:p w14:paraId="2338269D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center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1"/>
          <w:szCs w:val="21"/>
          <w:lang w:val="en-US" w:eastAsia="zh-CN"/>
        </w:rPr>
        <w:t>第二讲 长三角G60走廊参访：探索区域协同创新与产业发展</w:t>
      </w:r>
    </w:p>
    <w:p w14:paraId="28CCADDC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1. 长三角G60走廊概述</w:t>
      </w:r>
    </w:p>
    <w:p w14:paraId="6B776333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Symbol" w:hAnsi="Symbol" w:cs="Segoe UI"/>
          <w:color w:val="auto"/>
          <w:kern w:val="0"/>
          <w:sz w:val="20"/>
          <w:szCs w:val="23"/>
          <w:lang w:val="en-US" w:eastAsia="zh-CN" w:bidi="ar-SA"/>
        </w:rPr>
        <w:t xml:space="preserve">       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>地理位置与覆盖范围</w:t>
      </w:r>
    </w:p>
    <w:p w14:paraId="1266C8B6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产业布局与重点发展领域</w:t>
      </w:r>
    </w:p>
    <w:p w14:paraId="3F563D4B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区域协同创新的政策与机制</w:t>
      </w:r>
    </w:p>
    <w:p w14:paraId="5877E33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2. 产业创新与协同发展实践</w:t>
      </w:r>
    </w:p>
    <w:p w14:paraId="6F5D63D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产业集群的形成与发展，如高端制造业、科技创新、金融服务等</w:t>
      </w:r>
    </w:p>
    <w:p w14:paraId="01643CA9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企业间的合作与资源共享模式</w:t>
      </w:r>
    </w:p>
    <w:p w14:paraId="3D80B77E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科技成果转化与产学研合作案例</w:t>
      </w:r>
    </w:p>
    <w:p w14:paraId="525E4FCB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3. 现场参访</w:t>
      </w:r>
    </w:p>
    <w:p w14:paraId="1A43EFB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参观G60走廊内的代表性企业、产业园区和创新中心</w:t>
      </w:r>
    </w:p>
    <w:p w14:paraId="678E6E4B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与企业高管、园区负责人和科研人员交流，了解区域协同创新的经验与成果</w:t>
      </w:r>
    </w:p>
    <w:p w14:paraId="17E99696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观察区域协同创新对产业升级和经济发展的推动作用</w:t>
      </w:r>
    </w:p>
    <w:p w14:paraId="2E35876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332A7B53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>思政建设内容：通过参访长三角G60走廊，了解区域协同创新和产业发展的成功经验，引导学生树立区域协调发展观念，增强对国家发展战略的理解和认同，培养学生的团队合作精神和集体主义意识。</w:t>
      </w:r>
    </w:p>
    <w:p w14:paraId="363C4129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00E2FE17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center"/>
        <w:rPr>
          <w:rFonts w:hint="eastAsia" w:ascii="PingFang-SC-Regular" w:hAnsi="PingFang-SC-Regular" w:cs="Segoe UI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1"/>
          <w:szCs w:val="21"/>
          <w:lang w:val="en-US" w:eastAsia="zh-CN"/>
        </w:rPr>
        <w:t>第三讲 AI技术</w:t>
      </w:r>
    </w:p>
    <w:p w14:paraId="231F6E8D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1. AI概念</w:t>
      </w:r>
    </w:p>
    <w:p w14:paraId="7EE08396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AI技术起源</w:t>
      </w:r>
    </w:p>
    <w:p w14:paraId="255758FC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AI的发展趋势与面临的挑战</w:t>
      </w:r>
    </w:p>
    <w:p w14:paraId="4FFF0D48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AI的伦理与法律问题</w:t>
      </w:r>
    </w:p>
    <w:p w14:paraId="56FFEBA4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2. AI企业的创新实践</w:t>
      </w:r>
    </w:p>
    <w:p w14:paraId="3C34FB20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AI企业的技术优势与产品特点</w:t>
      </w:r>
    </w:p>
    <w:p w14:paraId="1F7C2CC0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AI技术如何提高效率、降低成本、改善体验</w:t>
      </w:r>
    </w:p>
    <w:p w14:paraId="36E2EECE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AI企业的市场定位与竞争优势</w:t>
      </w:r>
    </w:p>
    <w:p w14:paraId="6C9B45A3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311DC5A4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>思政建设内容：了解AI技术的应用，引导学生关注科技对企业的积极影响，培养学生的科技兴趣，同时强调科技伦理的重要性。</w:t>
      </w:r>
    </w:p>
    <w:p w14:paraId="45804B6A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473FC193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center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1"/>
          <w:szCs w:val="21"/>
          <w:lang w:val="en-US" w:eastAsia="zh-CN"/>
        </w:rPr>
        <w:t>第四讲 美敦力医疗创新中心参访：探索医疗器械的创新与突破</w:t>
      </w:r>
    </w:p>
    <w:p w14:paraId="22FFFE9A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1. 美敦力公司概述</w:t>
      </w:r>
    </w:p>
    <w:p w14:paraId="6590A5FB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公司的历史与发展轨迹</w:t>
      </w:r>
    </w:p>
    <w:p w14:paraId="2AE28EBE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美敦力在全球医疗器械行业的地位与影响力</w:t>
      </w:r>
    </w:p>
    <w:p w14:paraId="412339D2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主要产品线与技术优势</w:t>
      </w:r>
    </w:p>
    <w:p w14:paraId="393C2CE3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2. 医疗创新中心的创新实践</w:t>
      </w:r>
    </w:p>
    <w:p w14:paraId="60B1D8DC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医疗创新中心的研发模式与创新机制</w:t>
      </w:r>
    </w:p>
    <w:p w14:paraId="17400B97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先进医疗器械的研发与应用案例，如微创手术器械、心脏起搏器等</w:t>
      </w:r>
    </w:p>
    <w:p w14:paraId="5CC3CF45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医疗器械创新对医疗质量和患者安全的提升作用</w:t>
      </w:r>
    </w:p>
    <w:p w14:paraId="3B0D46DF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3. 现场参访</w:t>
      </w:r>
    </w:p>
    <w:p w14:paraId="47A03250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参观美敦力医疗创新中心的实验室、研发中心和生产车间</w:t>
      </w:r>
    </w:p>
    <w:p w14:paraId="304B673F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与创新中心的科研人员和工程师交流，了解他们的研发经验和创新思路</w:t>
      </w:r>
    </w:p>
    <w:p w14:paraId="5BE63E74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实地观察医疗器械的研发与生产过程，了解其质量控制与安全保障措施</w:t>
      </w:r>
    </w:p>
    <w:p w14:paraId="0D43E0F7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45068B66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>思政建设内容：通过参访美敦力医疗创新中心，了解医疗器械的创新与发展，引导学生关注医疗健康领域的需求，培养学生的创新意识和科技报国情怀，同时强调医疗安全和质量的重要性。</w:t>
      </w:r>
    </w:p>
    <w:p w14:paraId="35A01FF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1CA6EB56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center"/>
        <w:rPr>
          <w:rFonts w:hint="eastAsia" w:ascii="PingFang-SC-Regular" w:hAnsi="PingFang-SC-Regular" w:cs="Segoe UI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1"/>
          <w:szCs w:val="21"/>
          <w:lang w:val="en-US" w:eastAsia="zh-CN"/>
        </w:rPr>
        <w:t>第五讲 AI技术</w:t>
      </w:r>
    </w:p>
    <w:p w14:paraId="6C22B31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1. AI概念</w:t>
      </w:r>
    </w:p>
    <w:p w14:paraId="2313DC8E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AI技术起源</w:t>
      </w:r>
    </w:p>
    <w:p w14:paraId="4BA5FDD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AI的发展趋势与面临的挑战</w:t>
      </w:r>
    </w:p>
    <w:p w14:paraId="7C359A85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AI的伦理与法律问题</w:t>
      </w:r>
    </w:p>
    <w:p w14:paraId="3648A764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2. AI企业的创新实践</w:t>
      </w:r>
    </w:p>
    <w:p w14:paraId="0C80BC80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AI企业的技术优势与产品特点</w:t>
      </w:r>
    </w:p>
    <w:p w14:paraId="0D956B1E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AI技术如何提高效率、降低成本、改善体验</w:t>
      </w:r>
    </w:p>
    <w:p w14:paraId="4604681C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AI企业的市场定位与竞争优势</w:t>
      </w:r>
    </w:p>
    <w:p w14:paraId="61CFD43A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48A1E8E3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>思政建设内容：了解AI技术的应用，引导学生关注科技对企业的积极影响，培养学生的科技兴趣，同时强调科技伦理的重要性。</w:t>
      </w:r>
    </w:p>
    <w:p w14:paraId="51CAC010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6C2CC157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center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1"/>
          <w:szCs w:val="21"/>
          <w:lang w:val="en-US" w:eastAsia="zh-CN"/>
        </w:rPr>
        <w:t>第六讲 Python编程语言的商业应用与实践</w:t>
      </w:r>
    </w:p>
    <w:p w14:paraId="57632DA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1. Python编程语言概述</w:t>
      </w:r>
    </w:p>
    <w:p w14:paraId="0F63CFE6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Python的特点与优势</w:t>
      </w:r>
    </w:p>
    <w:p w14:paraId="1CDCBFBA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Python在不同行业中的应用现状与发展趋势</w:t>
      </w:r>
    </w:p>
    <w:p w14:paraId="17E011E7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Python的开源社区与生态系统</w:t>
      </w:r>
    </w:p>
    <w:p w14:paraId="6721E008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2. Python在商业领域的应用案例</w:t>
      </w:r>
    </w:p>
    <w:p w14:paraId="296E573E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 Python在数据分析、人工智能、金融科技等领域的实际应用</w:t>
      </w:r>
    </w:p>
    <w:p w14:paraId="4750F8D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 Python如何帮助企业提高效率、优化决策、创新商业模式</w:t>
      </w:r>
    </w:p>
    <w:p w14:paraId="6701DE2E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 Python开发团队的组织与管理经验</w:t>
      </w:r>
    </w:p>
    <w:p w14:paraId="2C207A57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232C246F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>思政建设内容：了解Python技术的实际应用，引导学生紧跟科技发展潮流，培养学生的编程能力和创新思维，同时强调技术应用的规范性和安全性。</w:t>
      </w:r>
    </w:p>
    <w:p w14:paraId="4573300B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47ADE76E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center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1"/>
          <w:szCs w:val="21"/>
          <w:lang w:val="en-US" w:eastAsia="zh-CN"/>
        </w:rPr>
        <w:t>第七讲 VR技术的商业应用与实践</w:t>
      </w:r>
    </w:p>
    <w:p w14:paraId="2236AE64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1. VR技术概述</w:t>
      </w:r>
    </w:p>
    <w:p w14:paraId="10EFBA59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VR技术的定义、发展历程与核心技术</w:t>
      </w:r>
    </w:p>
    <w:p w14:paraId="12E4E93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VR在不同行业中的应用现状与未来趋势</w:t>
      </w:r>
    </w:p>
    <w:p w14:paraId="375077BC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VR技术的伦理与社会影响</w:t>
      </w:r>
    </w:p>
    <w:p w14:paraId="6B758C96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2. VR企业的商业应用与实践</w:t>
      </w:r>
    </w:p>
    <w:p w14:paraId="7139DC8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 VR技术在教育、娱乐、房地产、医疗等领域的实际应用案例</w:t>
      </w:r>
    </w:p>
    <w:p w14:paraId="53E920B0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 VR如何为企业创造新的商业机会、提升用户体验、优化运营效率</w:t>
      </w:r>
    </w:p>
    <w:p w14:paraId="03ED4E03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 VR企业在市场中的竞争优势与挑战</w:t>
      </w:r>
    </w:p>
    <w:p w14:paraId="5B4F0B71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1CF3E2A6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>思政建设内容：了解VR技术的商业应用，引导学生关注新兴技术对社会生活的影响，培养学生的创新意识和科技应用能力，同时强调技术发展的社会责任和伦理规范。</w:t>
      </w:r>
    </w:p>
    <w:p w14:paraId="25C795C3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3B139616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center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1"/>
          <w:szCs w:val="21"/>
          <w:lang w:val="en-US" w:eastAsia="zh-CN"/>
        </w:rPr>
        <w:t>第八讲 3D打印技术的创新与实践</w:t>
      </w:r>
    </w:p>
    <w:p w14:paraId="6D744FAA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1. 3D打印技术概述</w:t>
      </w:r>
    </w:p>
    <w:p w14:paraId="1322E528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3D打印的定义、发展历程与核心技术</w:t>
      </w:r>
    </w:p>
    <w:p w14:paraId="1D406B90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3D打印在不同行业中的应用现状与未来趋势</w:t>
      </w:r>
    </w:p>
    <w:p w14:paraId="3D4B07B5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3D打印技术的伦理与社会影响</w:t>
      </w:r>
    </w:p>
    <w:p w14:paraId="409D2F29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b/>
          <w:bCs/>
          <w:color w:val="auto"/>
          <w:kern w:val="0"/>
          <w:sz w:val="23"/>
          <w:szCs w:val="23"/>
          <w:lang w:val="en-US" w:eastAsia="zh-CN"/>
        </w:rPr>
        <w:t>2. 3D打印企业的创新实践</w:t>
      </w:r>
    </w:p>
    <w:p w14:paraId="7E37D437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3D打印技术在制造业、医疗、建筑、文化创意等领域的实际应用案例</w:t>
      </w:r>
    </w:p>
    <w:p w14:paraId="26907E97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3D打印如何帮助企业实现个性化定制、提高生产效率、降低成本</w:t>
      </w:r>
    </w:p>
    <w:p w14:paraId="56E6BFF7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default" w:ascii="Symbol" w:hAnsi="Symbol" w:eastAsia="宋体" w:cs="Segoe UI"/>
          <w:color w:val="auto"/>
          <w:kern w:val="0"/>
          <w:sz w:val="20"/>
          <w:szCs w:val="23"/>
          <w:lang w:val="en-US" w:eastAsia="zh-CN" w:bidi="ar-SA"/>
        </w:rPr>
        <w:t></w:t>
      </w: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  3D打印企业在市场中的竞争优势与挑战</w:t>
      </w:r>
    </w:p>
    <w:p w14:paraId="1CA62095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13983E8C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>思政建设内容：参访3D打印企业，了解3D打印技术的创新与应用，引导学生关注科技对传统制造业的变革作用，培养学生的创新思维和实践能力，同时强调科技发展的可持续性和社会责任。</w:t>
      </w:r>
    </w:p>
    <w:p w14:paraId="7008FEDB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</w:p>
    <w:p w14:paraId="3ADB88F9">
      <w:pPr>
        <w:widowControl/>
        <w:numPr>
          <w:ilvl w:val="0"/>
          <w:numId w:val="0"/>
        </w:numPr>
        <w:shd w:val="clear" w:color="auto"/>
        <w:spacing w:before="30"/>
        <w:ind w:left="360" w:leftChars="0"/>
        <w:jc w:val="left"/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</w:pPr>
      <w:r>
        <w:rPr>
          <w:rFonts w:hint="eastAsia" w:ascii="PingFang-SC-Regular" w:hAnsi="PingFang-SC-Regular" w:cs="Segoe UI"/>
          <w:color w:val="auto"/>
          <w:kern w:val="0"/>
          <w:sz w:val="23"/>
          <w:szCs w:val="23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-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B67EF"/>
    <w:multiLevelType w:val="multilevel"/>
    <w:tmpl w:val="0CDB67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464392"/>
    <w:multiLevelType w:val="multilevel"/>
    <w:tmpl w:val="15464392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B17013E"/>
    <w:multiLevelType w:val="multilevel"/>
    <w:tmpl w:val="1B1701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B2565A8"/>
    <w:multiLevelType w:val="multilevel"/>
    <w:tmpl w:val="2B2565A8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14E6603"/>
    <w:multiLevelType w:val="multilevel"/>
    <w:tmpl w:val="514E66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kMDg3ZWYwNjhiNmU0MmY0MTRjNjU5NDRjYjg2MmMifQ=="/>
  </w:docVars>
  <w:rsids>
    <w:rsidRoot w:val="000F0CF9"/>
    <w:rsid w:val="000040EB"/>
    <w:rsid w:val="000A0972"/>
    <w:rsid w:val="000F0CF9"/>
    <w:rsid w:val="001309D8"/>
    <w:rsid w:val="002454C7"/>
    <w:rsid w:val="0040051A"/>
    <w:rsid w:val="00497586"/>
    <w:rsid w:val="00575D1E"/>
    <w:rsid w:val="00576861"/>
    <w:rsid w:val="00592449"/>
    <w:rsid w:val="00595548"/>
    <w:rsid w:val="005B2EB3"/>
    <w:rsid w:val="006624B6"/>
    <w:rsid w:val="00683D53"/>
    <w:rsid w:val="0069631F"/>
    <w:rsid w:val="00705334"/>
    <w:rsid w:val="0075465D"/>
    <w:rsid w:val="00767FE9"/>
    <w:rsid w:val="00780302"/>
    <w:rsid w:val="007B1821"/>
    <w:rsid w:val="007C74D4"/>
    <w:rsid w:val="007D1E17"/>
    <w:rsid w:val="00830827"/>
    <w:rsid w:val="008B35B6"/>
    <w:rsid w:val="008D5F0F"/>
    <w:rsid w:val="008E01B8"/>
    <w:rsid w:val="00917C66"/>
    <w:rsid w:val="00937A76"/>
    <w:rsid w:val="009656B6"/>
    <w:rsid w:val="00986CF1"/>
    <w:rsid w:val="00990A3A"/>
    <w:rsid w:val="009F278C"/>
    <w:rsid w:val="009F2BDA"/>
    <w:rsid w:val="00B63C03"/>
    <w:rsid w:val="00BA2F05"/>
    <w:rsid w:val="00CD6776"/>
    <w:rsid w:val="00D07BA8"/>
    <w:rsid w:val="00D255A1"/>
    <w:rsid w:val="00DA59E8"/>
    <w:rsid w:val="00DC7149"/>
    <w:rsid w:val="00F31598"/>
    <w:rsid w:val="00FA4994"/>
    <w:rsid w:val="00FE1ECA"/>
    <w:rsid w:val="09A26801"/>
    <w:rsid w:val="118B7830"/>
    <w:rsid w:val="16D44BE6"/>
    <w:rsid w:val="204B384B"/>
    <w:rsid w:val="376262AC"/>
    <w:rsid w:val="420E2412"/>
    <w:rsid w:val="4DBD26C4"/>
    <w:rsid w:val="596F2C1E"/>
    <w:rsid w:val="76751929"/>
    <w:rsid w:val="77F2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Placeholder Text"/>
    <w:basedOn w:val="5"/>
    <w:autoRedefine/>
    <w:semiHidden/>
    <w:qFormat/>
    <w:uiPriority w:val="99"/>
    <w:rPr>
      <w:color w:val="666666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3797</Words>
  <Characters>4052</Characters>
  <Lines>220</Lines>
  <Paragraphs>162</Paragraphs>
  <TotalTime>4</TotalTime>
  <ScaleCrop>false</ScaleCrop>
  <LinksUpToDate>false</LinksUpToDate>
  <CharactersWithSpaces>4498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2024-02-26T08:21:00Z</dcterms:created>
  <dc:creator>Jianyi LIU</dc:creator>
  <cp:lastModifiedBy>梁珍妮</cp:lastModifiedBy>
  <dcterms:modified xsi:type="dcterms:W3CDTF">2025-06-18T08:06:52Z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11fdf94e-9b3c-4e10-82ca-5935092022cb</vt:lpwstr>
  </property>
  <property fmtid="{D5CDD505-2E9C-101B-9397-08002B2CF9AE}" pid="3" name="KSOProductBuildVer">
    <vt:lpwstr>2052-12.1.0.21541</vt:lpwstr>
  </property>
  <property fmtid="{D5CDD505-2E9C-101B-9397-08002B2CF9AE}" pid="4" name="ICV">
    <vt:lpwstr>AE395634803248F4891D94BA646D6AD8_13</vt:lpwstr>
  </property>
  <property fmtid="{D5CDD505-2E9C-101B-9397-08002B2CF9AE}" pid="5" name="KSOTemplateDocerSaveRecord">
    <vt:lpwstr>eyJoZGlkIjoiY2ZlMTNmMGI2NTY5NGUyY2RhY2UwZjFmYWFlNmMwZjgiLCJ1c2VySWQiOiIyODA0NDY1NzIifQ==</vt:lpwstr>
  </property>
</Properties>
</file>