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DE" w:rsidRDefault="00047B17">
      <w:pPr>
        <w:jc w:val="center"/>
        <w:rPr>
          <w:b/>
          <w:sz w:val="44"/>
          <w:szCs w:val="44"/>
        </w:rPr>
      </w:pPr>
      <w:r>
        <w:rPr>
          <w:rFonts w:hint="eastAsia"/>
          <w:b/>
          <w:sz w:val="44"/>
          <w:szCs w:val="44"/>
        </w:rPr>
        <w:t>《</w:t>
      </w:r>
      <w:r w:rsidR="00697B82">
        <w:rPr>
          <w:rFonts w:hint="eastAsia"/>
          <w:b/>
          <w:sz w:val="44"/>
          <w:szCs w:val="44"/>
        </w:rPr>
        <w:t>管理</w:t>
      </w:r>
      <w:r w:rsidR="00697B82" w:rsidRPr="00697B82">
        <w:rPr>
          <w:rFonts w:hint="eastAsia"/>
          <w:b/>
          <w:sz w:val="44"/>
          <w:szCs w:val="44"/>
        </w:rPr>
        <w:t>控制系统</w:t>
      </w:r>
      <w:r>
        <w:rPr>
          <w:rFonts w:hint="eastAsia"/>
          <w:b/>
          <w:sz w:val="44"/>
          <w:szCs w:val="44"/>
        </w:rPr>
        <w:t>》教学大纲</w:t>
      </w:r>
    </w:p>
    <w:p w:rsidR="008907DE" w:rsidRDefault="00047B17">
      <w:pPr>
        <w:jc w:val="center"/>
      </w:pPr>
      <w:r>
        <w:rPr>
          <w:rFonts w:hint="eastAsia"/>
        </w:rPr>
        <w:t>(20</w:t>
      </w:r>
      <w:r w:rsidR="00697B82">
        <w:t>24</w:t>
      </w:r>
      <w:r>
        <w:rPr>
          <w:rFonts w:hint="eastAsia"/>
        </w:rPr>
        <w:t>－</w:t>
      </w:r>
      <w:r>
        <w:rPr>
          <w:rFonts w:hint="eastAsia"/>
        </w:rPr>
        <w:t>20</w:t>
      </w:r>
      <w:r w:rsidR="00697B82">
        <w:t>25</w:t>
      </w:r>
      <w:r>
        <w:rPr>
          <w:rFonts w:hint="eastAsia"/>
        </w:rPr>
        <w:t>年第</w:t>
      </w:r>
      <w:r w:rsidR="00697B82">
        <w:t>2</w:t>
      </w:r>
      <w:r>
        <w:rPr>
          <w:rFonts w:hint="eastAsia"/>
        </w:rPr>
        <w:t>学期</w:t>
      </w:r>
      <w:r>
        <w:rPr>
          <w:rFonts w:hint="eastAsia"/>
        </w:rPr>
        <w:t>)</w:t>
      </w:r>
    </w:p>
    <w:p w:rsidR="008907DE" w:rsidRDefault="008907DE">
      <w:pPr>
        <w:jc w:val="center"/>
      </w:pPr>
    </w:p>
    <w:p w:rsidR="008907DE" w:rsidRDefault="00047B17">
      <w:r>
        <w:rPr>
          <w:rFonts w:hint="eastAsia"/>
          <w:b/>
        </w:rPr>
        <w:t>课程：</w:t>
      </w:r>
      <w:r>
        <w:rPr>
          <w:rFonts w:hint="eastAsia"/>
          <w:b/>
        </w:rPr>
        <w:t xml:space="preserve">                    </w:t>
      </w:r>
      <w:r w:rsidR="00697B82">
        <w:rPr>
          <w:rFonts w:hint="eastAsia"/>
        </w:rPr>
        <w:t>管理控制系统</w:t>
      </w:r>
    </w:p>
    <w:p w:rsidR="008907DE" w:rsidRDefault="008907DE"/>
    <w:p w:rsidR="008907DE" w:rsidRDefault="00047B17">
      <w:r>
        <w:rPr>
          <w:rFonts w:hint="eastAsia"/>
          <w:b/>
        </w:rPr>
        <w:t>授课教师：</w:t>
      </w:r>
      <w:r>
        <w:rPr>
          <w:rFonts w:hint="eastAsia"/>
        </w:rPr>
        <w:t xml:space="preserve">                </w:t>
      </w:r>
      <w:r w:rsidR="00697B82">
        <w:rPr>
          <w:rFonts w:hint="eastAsia"/>
        </w:rPr>
        <w:t>马慧</w:t>
      </w:r>
    </w:p>
    <w:p w:rsidR="008907DE" w:rsidRDefault="00047B17">
      <w:r>
        <w:rPr>
          <w:rFonts w:hint="eastAsia"/>
        </w:rPr>
        <w:t xml:space="preserve">                          </w:t>
      </w:r>
      <w:r>
        <w:rPr>
          <w:rFonts w:hint="eastAsia"/>
        </w:rPr>
        <w:t>答疑时间：预约或周二下午</w:t>
      </w:r>
      <w:r>
        <w:rPr>
          <w:rFonts w:hint="eastAsia"/>
        </w:rPr>
        <w:t>3:30-4:30</w:t>
      </w:r>
    </w:p>
    <w:p w:rsidR="008907DE" w:rsidRDefault="00047B17">
      <w:r>
        <w:rPr>
          <w:rFonts w:hint="eastAsia"/>
        </w:rPr>
        <w:t xml:space="preserve">                          </w:t>
      </w:r>
      <w:r>
        <w:rPr>
          <w:rFonts w:hint="eastAsia"/>
        </w:rPr>
        <w:t>办公室：</w:t>
      </w:r>
      <w:r w:rsidR="00697B82">
        <w:rPr>
          <w:rFonts w:hint="eastAsia"/>
        </w:rPr>
        <w:t>会计学院</w:t>
      </w:r>
      <w:r w:rsidR="00697B82">
        <w:t>413</w:t>
      </w:r>
    </w:p>
    <w:p w:rsidR="008907DE" w:rsidRDefault="00047B17">
      <w:pPr>
        <w:rPr>
          <w:u w:val="single"/>
        </w:rPr>
      </w:pPr>
      <w:r>
        <w:rPr>
          <w:rFonts w:hint="eastAsia"/>
        </w:rPr>
        <w:t xml:space="preserve">                          E-mail: </w:t>
      </w:r>
      <w:hyperlink r:id="rId7" w:history="1">
        <w:r w:rsidR="00697B82" w:rsidRPr="00BB1020">
          <w:rPr>
            <w:rStyle w:val="aa"/>
            <w:szCs w:val="21"/>
          </w:rPr>
          <w:t>mahui</w:t>
        </w:r>
        <w:r w:rsidR="00697B82" w:rsidRPr="00BB1020">
          <w:rPr>
            <w:rStyle w:val="aa"/>
            <w:rFonts w:hint="eastAsia"/>
            <w:szCs w:val="21"/>
          </w:rPr>
          <w:t>@mail.shufe.edu.cn</w:t>
        </w:r>
      </w:hyperlink>
    </w:p>
    <w:p w:rsidR="008907DE" w:rsidRDefault="008907DE">
      <w:pPr>
        <w:rPr>
          <w:b/>
        </w:rPr>
      </w:pPr>
    </w:p>
    <w:p w:rsidR="008907DE" w:rsidRDefault="00047B17">
      <w:r>
        <w:rPr>
          <w:rFonts w:hint="eastAsia"/>
          <w:b/>
        </w:rPr>
        <w:t>课程类别：</w:t>
      </w:r>
      <w:r>
        <w:rPr>
          <w:rFonts w:hint="eastAsia"/>
          <w:b/>
        </w:rPr>
        <w:t xml:space="preserve">                </w:t>
      </w:r>
      <w:r w:rsidR="00697B82">
        <w:rPr>
          <w:rFonts w:hint="eastAsia"/>
          <w:b/>
        </w:rPr>
        <w:t>选修</w:t>
      </w:r>
    </w:p>
    <w:p w:rsidR="008907DE" w:rsidRDefault="008907DE">
      <w:pPr>
        <w:rPr>
          <w:b/>
        </w:rPr>
      </w:pPr>
    </w:p>
    <w:p w:rsidR="008907DE" w:rsidRDefault="00047B17">
      <w:r>
        <w:rPr>
          <w:rFonts w:hint="eastAsia"/>
          <w:b/>
        </w:rPr>
        <w:t>课程安排说明：</w:t>
      </w:r>
      <w:r>
        <w:rPr>
          <w:rFonts w:hint="eastAsia"/>
        </w:rPr>
        <w:t xml:space="preserve">            20</w:t>
      </w:r>
      <w:r w:rsidR="00697B82">
        <w:t>25</w:t>
      </w:r>
      <w:r>
        <w:rPr>
          <w:rFonts w:hint="eastAsia"/>
        </w:rPr>
        <w:t>年</w:t>
      </w:r>
      <w:r w:rsidR="00697B82">
        <w:t>2</w:t>
      </w:r>
      <w:r>
        <w:rPr>
          <w:rFonts w:hint="eastAsia"/>
        </w:rPr>
        <w:t>月</w:t>
      </w:r>
      <w:r w:rsidR="00697B82">
        <w:t>24</w:t>
      </w:r>
      <w:r>
        <w:rPr>
          <w:rFonts w:hint="eastAsia"/>
        </w:rPr>
        <w:t>日—</w:t>
      </w:r>
      <w:r>
        <w:rPr>
          <w:rFonts w:hint="eastAsia"/>
        </w:rPr>
        <w:t>20</w:t>
      </w:r>
      <w:r w:rsidR="00697B82">
        <w:t>25</w:t>
      </w:r>
      <w:r>
        <w:rPr>
          <w:rFonts w:hint="eastAsia"/>
        </w:rPr>
        <w:t>年</w:t>
      </w:r>
      <w:r w:rsidR="00697B82">
        <w:t>6</w:t>
      </w:r>
      <w:r>
        <w:rPr>
          <w:rFonts w:hint="eastAsia"/>
        </w:rPr>
        <w:t>月</w:t>
      </w:r>
      <w:r w:rsidR="00697B82">
        <w:t>15</w:t>
      </w:r>
      <w:r>
        <w:rPr>
          <w:rFonts w:hint="eastAsia"/>
        </w:rPr>
        <w:t>日</w:t>
      </w:r>
    </w:p>
    <w:p w:rsidR="008907DE" w:rsidRDefault="00047B17">
      <w:r>
        <w:rPr>
          <w:rFonts w:hint="eastAsia"/>
        </w:rPr>
        <w:t xml:space="preserve">                          </w:t>
      </w:r>
      <w:r>
        <w:rPr>
          <w:rFonts w:hint="eastAsia"/>
        </w:rPr>
        <w:t>上课时间：周</w:t>
      </w:r>
      <w:r w:rsidR="00697B82">
        <w:rPr>
          <w:rFonts w:hint="eastAsia"/>
        </w:rPr>
        <w:t>三</w:t>
      </w:r>
      <w:r>
        <w:rPr>
          <w:rFonts w:hint="eastAsia"/>
        </w:rPr>
        <w:t>下午</w:t>
      </w:r>
      <w:r>
        <w:rPr>
          <w:rFonts w:hint="eastAsia"/>
        </w:rPr>
        <w:t>1</w:t>
      </w:r>
      <w:r w:rsidR="00697B82">
        <w:t>5</w:t>
      </w:r>
      <w:r>
        <w:rPr>
          <w:rFonts w:hint="eastAsia"/>
        </w:rPr>
        <w:t>:</w:t>
      </w:r>
      <w:r>
        <w:t>2</w:t>
      </w:r>
      <w:r w:rsidR="00697B82">
        <w:t>5</w:t>
      </w:r>
      <w:r>
        <w:rPr>
          <w:rFonts w:hint="eastAsia"/>
        </w:rPr>
        <w:t>-1</w:t>
      </w:r>
      <w:r w:rsidR="00697B82">
        <w:t>8</w:t>
      </w:r>
      <w:r>
        <w:rPr>
          <w:rFonts w:hint="eastAsia"/>
        </w:rPr>
        <w:t>:0</w:t>
      </w:r>
      <w:r w:rsidR="00697B82">
        <w:t>0</w:t>
      </w:r>
      <w:r>
        <w:rPr>
          <w:rFonts w:hint="eastAsia"/>
        </w:rPr>
        <w:t xml:space="preserve"> </w:t>
      </w:r>
    </w:p>
    <w:p w:rsidR="008907DE" w:rsidRDefault="00047B17">
      <w:pPr>
        <w:ind w:firstLineChars="1300" w:firstLine="2730"/>
      </w:pPr>
      <w:r>
        <w:rPr>
          <w:rFonts w:hint="eastAsia"/>
        </w:rPr>
        <w:t>授课地点：</w:t>
      </w:r>
      <w:r w:rsidR="00697B82">
        <w:rPr>
          <w:rFonts w:hint="eastAsia"/>
        </w:rPr>
        <w:t>一教</w:t>
      </w:r>
      <w:r w:rsidR="00697B82">
        <w:rPr>
          <w:rFonts w:hint="eastAsia"/>
        </w:rPr>
        <w:t>2</w:t>
      </w:r>
      <w:r w:rsidR="00697B82">
        <w:t>02</w:t>
      </w:r>
    </w:p>
    <w:p w:rsidR="008907DE" w:rsidRDefault="00047B17">
      <w:r>
        <w:rPr>
          <w:rFonts w:hint="eastAsia"/>
        </w:rPr>
        <w:t xml:space="preserve">                          </w:t>
      </w:r>
      <w:r>
        <w:rPr>
          <w:rFonts w:hint="eastAsia"/>
        </w:rPr>
        <w:t>课程调整：休假</w:t>
      </w:r>
      <w:r w:rsidR="00697B82">
        <w:rPr>
          <w:rFonts w:hint="eastAsia"/>
        </w:rPr>
        <w:t>日</w:t>
      </w:r>
      <w:r>
        <w:rPr>
          <w:rFonts w:hint="eastAsia"/>
        </w:rPr>
        <w:t>课程内容顺延。</w:t>
      </w:r>
      <w:r>
        <w:rPr>
          <w:rFonts w:hint="eastAsia"/>
        </w:rPr>
        <w:t xml:space="preserve"> </w:t>
      </w:r>
    </w:p>
    <w:p w:rsidR="008907DE" w:rsidRDefault="00047B17">
      <w:r>
        <w:rPr>
          <w:rFonts w:hint="eastAsia"/>
        </w:rPr>
        <w:t xml:space="preserve">                          </w:t>
      </w:r>
      <w:r>
        <w:rPr>
          <w:rFonts w:hint="eastAsia"/>
        </w:rPr>
        <w:t>期终考试时间：</w:t>
      </w:r>
      <w:r>
        <w:rPr>
          <w:rFonts w:hint="eastAsia"/>
        </w:rPr>
        <w:t>20</w:t>
      </w:r>
      <w:r w:rsidR="00697B82">
        <w:t>25</w:t>
      </w:r>
      <w:r>
        <w:rPr>
          <w:rFonts w:hint="eastAsia"/>
        </w:rPr>
        <w:t>年</w:t>
      </w:r>
      <w:r w:rsidR="00697B82">
        <w:t>6</w:t>
      </w:r>
      <w:r>
        <w:rPr>
          <w:rFonts w:hint="eastAsia"/>
        </w:rPr>
        <w:t>月</w:t>
      </w:r>
      <w:r w:rsidR="00697B82">
        <w:t>20</w:t>
      </w:r>
      <w:r>
        <w:rPr>
          <w:rFonts w:hint="eastAsia"/>
        </w:rPr>
        <w:t>日—</w:t>
      </w:r>
      <w:r w:rsidR="00697B82">
        <w:t>6</w:t>
      </w:r>
      <w:r>
        <w:rPr>
          <w:rFonts w:hint="eastAsia"/>
        </w:rPr>
        <w:t>月</w:t>
      </w:r>
      <w:r w:rsidR="00697B82">
        <w:t>30</w:t>
      </w:r>
      <w:r>
        <w:rPr>
          <w:rFonts w:hint="eastAsia"/>
        </w:rPr>
        <w:t>日之间。</w:t>
      </w:r>
    </w:p>
    <w:p w:rsidR="008907DE" w:rsidRDefault="00047B17">
      <w:pPr>
        <w:rPr>
          <w:b/>
        </w:rPr>
      </w:pPr>
      <w:r>
        <w:rPr>
          <w:rFonts w:hint="eastAsia"/>
          <w:b/>
        </w:rPr>
        <w:t>教学学时分配表：</w:t>
      </w:r>
    </w:p>
    <w:p w:rsidR="008907DE" w:rsidRDefault="008907DE">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521"/>
        <w:gridCol w:w="1559"/>
        <w:gridCol w:w="1559"/>
      </w:tblGrid>
      <w:tr w:rsidR="00697B82" w:rsidRPr="00697B82">
        <w:tc>
          <w:tcPr>
            <w:tcW w:w="1420" w:type="dxa"/>
          </w:tcPr>
          <w:p w:rsidR="008907DE" w:rsidRPr="00697B82" w:rsidRDefault="00047B17">
            <w:pPr>
              <w:jc w:val="center"/>
            </w:pPr>
            <w:r w:rsidRPr="00697B82">
              <w:rPr>
                <w:rFonts w:hint="eastAsia"/>
              </w:rPr>
              <w:t>学分</w:t>
            </w:r>
          </w:p>
        </w:tc>
        <w:tc>
          <w:tcPr>
            <w:tcW w:w="1420" w:type="dxa"/>
          </w:tcPr>
          <w:p w:rsidR="008907DE" w:rsidRPr="00697B82" w:rsidRDefault="00047B17">
            <w:pPr>
              <w:jc w:val="center"/>
            </w:pPr>
            <w:r w:rsidRPr="00697B82">
              <w:rPr>
                <w:rFonts w:hint="eastAsia"/>
              </w:rPr>
              <w:t>总学时</w:t>
            </w:r>
          </w:p>
        </w:tc>
        <w:tc>
          <w:tcPr>
            <w:tcW w:w="1521" w:type="dxa"/>
          </w:tcPr>
          <w:p w:rsidR="008907DE" w:rsidRPr="00697B82" w:rsidRDefault="00047B17">
            <w:pPr>
              <w:jc w:val="center"/>
            </w:pPr>
            <w:r w:rsidRPr="00697B82">
              <w:rPr>
                <w:rFonts w:hint="eastAsia"/>
              </w:rPr>
              <w:t>理论教学学时</w:t>
            </w:r>
          </w:p>
        </w:tc>
        <w:tc>
          <w:tcPr>
            <w:tcW w:w="1559" w:type="dxa"/>
          </w:tcPr>
          <w:p w:rsidR="008907DE" w:rsidRPr="00697B82" w:rsidRDefault="00047B17">
            <w:pPr>
              <w:jc w:val="center"/>
            </w:pPr>
            <w:r w:rsidRPr="00697B82">
              <w:rPr>
                <w:rFonts w:hint="eastAsia"/>
              </w:rPr>
              <w:t>实践教学学时</w:t>
            </w:r>
          </w:p>
        </w:tc>
        <w:tc>
          <w:tcPr>
            <w:tcW w:w="1559" w:type="dxa"/>
          </w:tcPr>
          <w:p w:rsidR="008907DE" w:rsidRPr="00697B82" w:rsidRDefault="00047B17">
            <w:pPr>
              <w:jc w:val="center"/>
            </w:pPr>
            <w:r w:rsidRPr="00697B82">
              <w:rPr>
                <w:rFonts w:hint="eastAsia"/>
              </w:rPr>
              <w:t>实验教学学时</w:t>
            </w:r>
          </w:p>
        </w:tc>
      </w:tr>
      <w:tr w:rsidR="00697B82" w:rsidRPr="00697B82">
        <w:tc>
          <w:tcPr>
            <w:tcW w:w="1420" w:type="dxa"/>
          </w:tcPr>
          <w:p w:rsidR="008907DE" w:rsidRPr="00697B82" w:rsidRDefault="00697B82">
            <w:pPr>
              <w:jc w:val="center"/>
              <w:rPr>
                <w:i/>
              </w:rPr>
            </w:pPr>
            <m:oMathPara>
              <m:oMath>
                <m:r>
                  <w:rPr>
                    <w:rFonts w:ascii="Cambria Math" w:hAnsi="Cambria Math"/>
                  </w:rPr>
                  <m:t>3</m:t>
                </m:r>
              </m:oMath>
            </m:oMathPara>
          </w:p>
        </w:tc>
        <w:tc>
          <w:tcPr>
            <w:tcW w:w="1420" w:type="dxa"/>
          </w:tcPr>
          <w:p w:rsidR="008907DE" w:rsidRPr="00697B82" w:rsidRDefault="00047B17" w:rsidP="00697B82">
            <w:pPr>
              <w:jc w:val="center"/>
            </w:pPr>
            <m:oMathPara>
              <m:oMath>
                <m:r>
                  <w:rPr>
                    <w:rFonts w:ascii="Cambria Math" w:hAnsi="Cambria Math"/>
                  </w:rPr>
                  <m:t>16*3</m:t>
                </m:r>
              </m:oMath>
            </m:oMathPara>
          </w:p>
        </w:tc>
        <w:tc>
          <w:tcPr>
            <w:tcW w:w="1521" w:type="dxa"/>
          </w:tcPr>
          <w:p w:rsidR="008907DE" w:rsidRPr="00697B82" w:rsidRDefault="00697B82" w:rsidP="00697B82">
            <w:pPr>
              <w:jc w:val="center"/>
              <w:rPr>
                <w:i/>
              </w:rPr>
            </w:pPr>
            <m:oMathPara>
              <m:oMath>
                <m:r>
                  <m:rPr>
                    <m:sty m:val="p"/>
                  </m:rPr>
                  <w:rPr>
                    <w:rFonts w:ascii="Cambria Math" w:hAnsi="Cambria Math"/>
                  </w:rPr>
                  <m:t>24</m:t>
                </m:r>
              </m:oMath>
            </m:oMathPara>
          </w:p>
        </w:tc>
        <w:tc>
          <w:tcPr>
            <w:tcW w:w="1559" w:type="dxa"/>
          </w:tcPr>
          <w:p w:rsidR="008907DE" w:rsidRPr="00697B82" w:rsidRDefault="00697B82" w:rsidP="00AA56D2">
            <w:pPr>
              <w:jc w:val="center"/>
              <w:rPr>
                <w:i/>
              </w:rPr>
            </w:pPr>
            <m:oMathPara>
              <m:oMath>
                <m:r>
                  <w:rPr>
                    <w:rFonts w:ascii="Cambria Math" w:hAnsi="Cambria Math"/>
                  </w:rPr>
                  <m:t>21</m:t>
                </m:r>
              </m:oMath>
            </m:oMathPara>
          </w:p>
        </w:tc>
        <w:tc>
          <w:tcPr>
            <w:tcW w:w="1559" w:type="dxa"/>
          </w:tcPr>
          <w:p w:rsidR="008907DE" w:rsidRPr="00697B82" w:rsidRDefault="00AA56D2" w:rsidP="00AA56D2">
            <w:pPr>
              <w:jc w:val="center"/>
              <w:rPr>
                <w:i/>
              </w:rPr>
            </w:pPr>
            <m:oMathPara>
              <m:oMath>
                <m:r>
                  <m:rPr>
                    <m:sty m:val="p"/>
                  </m:rPr>
                  <w:rPr>
                    <w:rFonts w:ascii="Cambria Math" w:eastAsia="Cambria Math" w:hAnsi="Cambria Math"/>
                  </w:rPr>
                  <m:t>3</m:t>
                </m:r>
              </m:oMath>
            </m:oMathPara>
          </w:p>
        </w:tc>
      </w:tr>
    </w:tbl>
    <w:p w:rsidR="008907DE" w:rsidRPr="00697B82" w:rsidRDefault="00047B17">
      <w:r w:rsidRPr="00697B82">
        <w:rPr>
          <w:rFonts w:hint="eastAsia"/>
        </w:rPr>
        <w:t>（注：</w:t>
      </w:r>
      <m:oMath>
        <m:r>
          <m:rPr>
            <m:sty m:val="p"/>
          </m:rPr>
          <w:rPr>
            <w:rFonts w:ascii="Cambria Math" w:hAnsi="Cambria Math"/>
          </w:rPr>
          <m:t>16</m:t>
        </m:r>
        <m:r>
          <w:rPr>
            <w:rFonts w:ascii="Cambria Math" w:hAnsi="Cambria Math" w:hint="eastAsia"/>
          </w:rPr>
          <m:t>N</m:t>
        </m:r>
        <m:r>
          <w:rPr>
            <w:rFonts w:ascii="Cambria Math" w:hAnsi="Cambria Math"/>
          </w:rPr>
          <m:t>=</m:t>
        </m:r>
        <m:sSub>
          <m:sSubPr>
            <m:ctrlPr>
              <w:rPr>
                <w:rFonts w:ascii="Cambria Math" w:hAnsi="Cambria Math"/>
                <w:i/>
              </w:rPr>
            </m:ctrlPr>
          </m:sSubPr>
          <m:e>
            <m:r>
              <w:rPr>
                <w:rFonts w:ascii="Cambria Math" w:hAnsi="Cambria Math" w:hint="eastAsia"/>
              </w:rPr>
              <m:t>X</m:t>
            </m:r>
            <m:ctrlPr>
              <w:rPr>
                <w:rFonts w:ascii="Cambria Math" w:hAnsi="Cambria Math" w:hint="eastAsia"/>
                <w:i/>
              </w:rPr>
            </m:ctrlP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X</m:t>
            </m:r>
            <m:ctrlPr>
              <w:rPr>
                <w:rFonts w:ascii="Cambria Math" w:hAnsi="Cambria Math" w:hint="eastAsia"/>
                <w:i/>
              </w:rPr>
            </m:ctrlP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hint="eastAsia"/>
              </w:rPr>
              <m:t>X</m:t>
            </m:r>
            <m:ctrlPr>
              <w:rPr>
                <w:rFonts w:ascii="Cambria Math" w:hAnsi="Cambria Math" w:hint="eastAsia"/>
                <w:i/>
              </w:rPr>
            </m:ctrlPr>
          </m:e>
          <m:sub>
            <m:r>
              <w:rPr>
                <w:rFonts w:ascii="Cambria Math" w:hAnsi="Cambria Math"/>
              </w:rPr>
              <m:t>3</m:t>
            </m:r>
          </m:sub>
        </m:sSub>
      </m:oMath>
      <w:r w:rsidRPr="00697B82">
        <w:rPr>
          <w:rFonts w:hint="eastAsia"/>
        </w:rPr>
        <w:t>）</w:t>
      </w:r>
    </w:p>
    <w:p w:rsidR="008907DE" w:rsidRDefault="008907DE">
      <w:pPr>
        <w:rPr>
          <w:b/>
        </w:rPr>
      </w:pPr>
    </w:p>
    <w:p w:rsidR="008907DE" w:rsidRDefault="00047B17">
      <w:r>
        <w:rPr>
          <w:rFonts w:hint="eastAsia"/>
          <w:b/>
        </w:rPr>
        <w:t>课件网址：</w:t>
      </w:r>
      <w:r>
        <w:rPr>
          <w:rFonts w:hint="eastAsia"/>
        </w:rPr>
        <w:t xml:space="preserve">               </w:t>
      </w:r>
      <w:r>
        <w:rPr>
          <w:color w:val="FF0000"/>
          <w:u w:val="single"/>
        </w:rPr>
        <w:t>https://canvas.shufe.edu.cn/courses/</w:t>
      </w:r>
      <w:r>
        <w:rPr>
          <w:rFonts w:hint="eastAsia"/>
          <w:color w:val="FF0000"/>
          <w:u w:val="single"/>
        </w:rPr>
        <w:t>xxxxx</w:t>
      </w:r>
      <w:r>
        <w:rPr>
          <w:rFonts w:hint="eastAsia"/>
        </w:rPr>
        <w:t xml:space="preserve"> </w:t>
      </w:r>
    </w:p>
    <w:p w:rsidR="008907DE" w:rsidRDefault="008907DE"/>
    <w:p w:rsidR="008907DE" w:rsidRDefault="00047B17">
      <w:pPr>
        <w:rPr>
          <w:b/>
        </w:rPr>
      </w:pPr>
      <w:r>
        <w:rPr>
          <w:rFonts w:hint="eastAsia"/>
          <w:b/>
        </w:rPr>
        <w:t>教材和参考书目：</w:t>
      </w:r>
    </w:p>
    <w:p w:rsidR="00697B82" w:rsidRPr="00985289" w:rsidRDefault="00697B82" w:rsidP="00697B82">
      <w:pPr>
        <w:adjustRightInd w:val="0"/>
        <w:snapToGrid w:val="0"/>
        <w:spacing w:beforeLines="30" w:before="93"/>
        <w:ind w:firstLineChars="200" w:firstLine="420"/>
        <w:rPr>
          <w:rFonts w:eastAsia="微软雅黑"/>
          <w:b/>
          <w:sz w:val="24"/>
        </w:rPr>
      </w:pPr>
      <w:r>
        <w:rPr>
          <w:rFonts w:hint="eastAsia"/>
        </w:rPr>
        <w:t>指定教材：</w:t>
      </w:r>
      <w:r w:rsidRPr="00640268">
        <w:rPr>
          <w:rFonts w:hint="eastAsia"/>
        </w:rPr>
        <w:t>罗伯特</w:t>
      </w:r>
      <w:r w:rsidRPr="00640268">
        <w:t>•</w:t>
      </w:r>
      <w:r w:rsidRPr="00640268">
        <w:rPr>
          <w:rFonts w:hint="eastAsia"/>
        </w:rPr>
        <w:t>安东尼</w:t>
      </w:r>
      <w:r w:rsidRPr="00640268">
        <w:t xml:space="preserve">, </w:t>
      </w:r>
      <w:r w:rsidRPr="00640268">
        <w:rPr>
          <w:rFonts w:hint="eastAsia"/>
        </w:rPr>
        <w:t>维杰伊</w:t>
      </w:r>
      <w:r w:rsidRPr="00640268">
        <w:t>•</w:t>
      </w:r>
      <w:r w:rsidRPr="00640268">
        <w:rPr>
          <w:rFonts w:hint="eastAsia"/>
        </w:rPr>
        <w:t>戈文达拉扬</w:t>
      </w:r>
      <w:r w:rsidRPr="00640268">
        <w:t>. 201</w:t>
      </w:r>
      <w:r w:rsidRPr="00640268">
        <w:rPr>
          <w:rFonts w:hint="eastAsia"/>
        </w:rPr>
        <w:t>0</w:t>
      </w:r>
      <w:r w:rsidRPr="00640268">
        <w:t xml:space="preserve">. </w:t>
      </w:r>
      <w:r w:rsidRPr="00640268">
        <w:rPr>
          <w:rFonts w:hint="eastAsia"/>
        </w:rPr>
        <w:t>管理控制系统</w:t>
      </w:r>
      <w:r w:rsidRPr="00640268">
        <w:t xml:space="preserve"> (</w:t>
      </w:r>
      <w:r w:rsidRPr="00640268">
        <w:t>第</w:t>
      </w:r>
      <w:r w:rsidRPr="00640268">
        <w:rPr>
          <w:rFonts w:hint="eastAsia"/>
        </w:rPr>
        <w:t>12</w:t>
      </w:r>
      <w:r w:rsidRPr="00640268">
        <w:t>版</w:t>
      </w:r>
      <w:r w:rsidRPr="00640268">
        <w:t>;</w:t>
      </w:r>
      <w:r w:rsidRPr="00640268">
        <w:rPr>
          <w:rFonts w:hint="eastAsia"/>
        </w:rPr>
        <w:t>刘霄仑</w:t>
      </w:r>
      <w:r w:rsidRPr="00640268">
        <w:t>,</w:t>
      </w:r>
      <w:r w:rsidRPr="00640268">
        <w:rPr>
          <w:rFonts w:hint="eastAsia"/>
        </w:rPr>
        <w:t>朱晓辉</w:t>
      </w:r>
      <w:r w:rsidRPr="00640268">
        <w:t>译</w:t>
      </w:r>
      <w:r w:rsidRPr="00640268">
        <w:t xml:space="preserve">). </w:t>
      </w:r>
      <w:r w:rsidRPr="00640268">
        <w:t>北京</w:t>
      </w:r>
      <w:r w:rsidRPr="00640268">
        <w:t xml:space="preserve">: </w:t>
      </w:r>
      <w:r w:rsidRPr="00640268">
        <w:rPr>
          <w:rFonts w:hint="eastAsia"/>
        </w:rPr>
        <w:t>人民邮电</w:t>
      </w:r>
      <w:r w:rsidRPr="00640268">
        <w:t>出版社</w:t>
      </w:r>
      <w:r w:rsidRPr="00640268">
        <w:t>.</w:t>
      </w:r>
    </w:p>
    <w:p w:rsidR="00697B82" w:rsidRPr="00D232D2" w:rsidRDefault="00697B82" w:rsidP="00697B82">
      <w:pPr>
        <w:adjustRightInd w:val="0"/>
        <w:snapToGrid w:val="0"/>
        <w:spacing w:beforeLines="30" w:before="93"/>
        <w:ind w:leftChars="200" w:left="1470" w:hangingChars="500" w:hanging="1050"/>
      </w:pPr>
      <w:r>
        <w:rPr>
          <w:rFonts w:hint="eastAsia"/>
        </w:rPr>
        <w:t>参考书目：</w:t>
      </w:r>
      <w:r w:rsidRPr="00D232D2">
        <w:rPr>
          <w:rFonts w:hint="eastAsia"/>
        </w:rPr>
        <w:t>罗伯特</w:t>
      </w:r>
      <w:r w:rsidRPr="00D232D2">
        <w:t>•</w:t>
      </w:r>
      <w:r w:rsidRPr="00D232D2">
        <w:rPr>
          <w:rFonts w:hint="eastAsia"/>
        </w:rPr>
        <w:t>安东尼</w:t>
      </w:r>
      <w:r w:rsidRPr="00D232D2">
        <w:t xml:space="preserve">, </w:t>
      </w:r>
      <w:r w:rsidRPr="00D232D2">
        <w:rPr>
          <w:rFonts w:hint="eastAsia"/>
        </w:rPr>
        <w:t>维杰伊</w:t>
      </w:r>
      <w:r w:rsidRPr="00D232D2">
        <w:t>•</w:t>
      </w:r>
      <w:r w:rsidRPr="00D232D2">
        <w:rPr>
          <w:rFonts w:hint="eastAsia"/>
        </w:rPr>
        <w:t>戈文达拉扬</w:t>
      </w:r>
      <w:r w:rsidRPr="00D232D2">
        <w:t>. 201</w:t>
      </w:r>
      <w:r w:rsidRPr="00D232D2">
        <w:rPr>
          <w:rFonts w:hint="eastAsia"/>
        </w:rPr>
        <w:t>0</w:t>
      </w:r>
      <w:r w:rsidRPr="00D232D2">
        <w:t xml:space="preserve">. </w:t>
      </w:r>
      <w:r w:rsidRPr="00D232D2">
        <w:rPr>
          <w:rFonts w:hint="eastAsia"/>
        </w:rPr>
        <w:t>管理控制系统</w:t>
      </w:r>
      <w:r w:rsidRPr="00D232D2">
        <w:t>•</w:t>
      </w:r>
      <w:r w:rsidRPr="00D232D2">
        <w:rPr>
          <w:rFonts w:hint="eastAsia"/>
        </w:rPr>
        <w:t>案例</w:t>
      </w:r>
      <w:r w:rsidRPr="00D232D2">
        <w:t xml:space="preserve"> (</w:t>
      </w:r>
      <w:r w:rsidRPr="00D232D2">
        <w:t>第</w:t>
      </w:r>
      <w:r w:rsidRPr="00D232D2">
        <w:rPr>
          <w:rFonts w:hint="eastAsia"/>
        </w:rPr>
        <w:t>12</w:t>
      </w:r>
      <w:r w:rsidRPr="00D232D2">
        <w:t>版</w:t>
      </w:r>
      <w:r w:rsidRPr="00D232D2">
        <w:t>;</w:t>
      </w:r>
      <w:r w:rsidRPr="00D232D2">
        <w:rPr>
          <w:rFonts w:hint="eastAsia"/>
        </w:rPr>
        <w:t>刘霄仑</w:t>
      </w:r>
      <w:r w:rsidRPr="00D232D2">
        <w:t>,</w:t>
      </w:r>
      <w:r w:rsidRPr="00D232D2">
        <w:rPr>
          <w:rFonts w:hint="eastAsia"/>
        </w:rPr>
        <w:t>朱晓辉</w:t>
      </w:r>
      <w:r w:rsidRPr="00D232D2">
        <w:t>译</w:t>
      </w:r>
      <w:r w:rsidRPr="00D232D2">
        <w:t xml:space="preserve">). </w:t>
      </w:r>
      <w:r w:rsidRPr="00D232D2">
        <w:t>北京</w:t>
      </w:r>
      <w:r w:rsidRPr="00D232D2">
        <w:t xml:space="preserve">: </w:t>
      </w:r>
      <w:r w:rsidRPr="00D232D2">
        <w:rPr>
          <w:rFonts w:hint="eastAsia"/>
        </w:rPr>
        <w:t>人民邮电</w:t>
      </w:r>
      <w:r w:rsidRPr="00D232D2">
        <w:t>出版社</w:t>
      </w:r>
      <w:r w:rsidRPr="00D232D2">
        <w:t>.</w:t>
      </w:r>
    </w:p>
    <w:p w:rsidR="008907DE" w:rsidRDefault="008907DE">
      <w:pPr>
        <w:rPr>
          <w:b/>
        </w:rPr>
      </w:pPr>
    </w:p>
    <w:p w:rsidR="008907DE" w:rsidRDefault="00047B17">
      <w:pPr>
        <w:rPr>
          <w:b/>
        </w:rPr>
      </w:pPr>
      <w:r>
        <w:rPr>
          <w:rFonts w:hint="eastAsia"/>
          <w:b/>
        </w:rPr>
        <w:t>预备知识</w:t>
      </w:r>
    </w:p>
    <w:p w:rsidR="008907DE" w:rsidRDefault="00697B82">
      <w:pPr>
        <w:ind w:firstLine="410"/>
      </w:pPr>
      <w:r>
        <w:rPr>
          <w:rFonts w:hint="eastAsia"/>
        </w:rPr>
        <w:t>财务管理及基础会计学知识</w:t>
      </w:r>
    </w:p>
    <w:p w:rsidR="008907DE" w:rsidRDefault="008907DE">
      <w:pPr>
        <w:rPr>
          <w:b/>
        </w:rPr>
      </w:pPr>
    </w:p>
    <w:p w:rsidR="008907DE" w:rsidRDefault="00047B17">
      <w:pPr>
        <w:rPr>
          <w:b/>
        </w:rPr>
      </w:pPr>
      <w:r>
        <w:rPr>
          <w:rFonts w:hint="eastAsia"/>
          <w:b/>
        </w:rPr>
        <w:t>先修</w:t>
      </w:r>
      <w:r>
        <w:rPr>
          <w:b/>
        </w:rPr>
        <w:t>课程：</w:t>
      </w:r>
      <w:r w:rsidR="00697B82">
        <w:rPr>
          <w:rFonts w:hint="eastAsia"/>
          <w:b/>
        </w:rPr>
        <w:t>财务会计、财务管理学、成本会计</w:t>
      </w:r>
    </w:p>
    <w:p w:rsidR="008907DE" w:rsidRDefault="008907DE"/>
    <w:p w:rsidR="00697B82" w:rsidRPr="00697B82" w:rsidRDefault="00047B17" w:rsidP="00697B82">
      <w:r>
        <w:rPr>
          <w:b/>
        </w:rPr>
        <w:t>课程达成目标：</w:t>
      </w:r>
      <w:r w:rsidR="00697B82" w:rsidRPr="00697B82">
        <w:rPr>
          <w:rFonts w:hint="eastAsia"/>
        </w:rPr>
        <w:t>《管理控制系统》是管理学、会计学专业的进阶核心课程，是连接管理会计与企业战略的重要桥梁。本课程以企业价值创造为导向，系统阐述组织如何通过各类控制工具和机制引导员工行为，实现战略目标。课程融合管理学、会计学、组织行为学等多学科知识，旨在培养学生的组织诊断能力、系统设计思维和战略执行能力，使学生理解管理控制在组织治理中的关键作用，掌握现代管理控制技术与方法，并形成正确的组织管理观和职业伦理意识。</w:t>
      </w:r>
    </w:p>
    <w:p w:rsidR="00697B82" w:rsidRPr="00697B82" w:rsidRDefault="00697B82" w:rsidP="00697B82"/>
    <w:p w:rsidR="00697B82" w:rsidRPr="00697B82" w:rsidRDefault="00697B82" w:rsidP="00697B82">
      <w:pPr>
        <w:ind w:firstLineChars="200" w:firstLine="420"/>
      </w:pPr>
      <w:r w:rsidRPr="00697B82">
        <w:rPr>
          <w:rFonts w:hint="eastAsia"/>
        </w:rPr>
        <w:lastRenderedPageBreak/>
        <w:t>在知识目标方面，学生将掌握管理控制的本质、目标与基本框架，理解管理控制与战略规划、运营控制的关系，掌握组织结构与责任中心设计原理，了解行为科学在管理控制中的应用，掌握管理控制环境与文化塑造的基本理论。学生将系统掌握预算编制与控制的方法与流程，掌握平衡计分卡设计与实施的关键要素，熟悉责任会计与内部转移定价机制，理解绩效评价体系的构建原则与方法，掌握激励与薪酬系统设计的基本理论，了解信息系统在管理控制中的应用，掌握投资中心与经济增加值评价方法。此外，学生还将了解不同行业管理控制系统的特点与差异，认识数字化转型对管理控制的影响与挑战，熟悉国际企业管理控制的跨文化问题，了解可持续发展与社会责任在管理控制中的融合。</w:t>
      </w:r>
    </w:p>
    <w:p w:rsidR="00697B82" w:rsidRPr="00697B82" w:rsidRDefault="00697B82" w:rsidP="00697B82">
      <w:pPr>
        <w:ind w:firstLineChars="200" w:firstLine="420"/>
      </w:pPr>
      <w:r w:rsidRPr="00697B82">
        <w:rPr>
          <w:rFonts w:hint="eastAsia"/>
        </w:rPr>
        <w:t>在能力目标方面，学生将能够设计与实施组织的预算管理系统，构建科学的绩效评价与激励机制，运用平衡计分卡将战略转化为行动，熟练运用管理控制工具诊断组织问题，具备责任中心划分与业绩衡量能力。学生还将培养战略思维与系统设计能力，提升组织诊断与问题解决能力，发展管理沟通与团队协作能力，强化分析决策与执行推动能力，提高组织变革与创新管理能力。</w:t>
      </w:r>
    </w:p>
    <w:p w:rsidR="00405570" w:rsidRPr="00405570" w:rsidRDefault="00405570" w:rsidP="00405570">
      <w:pPr>
        <w:ind w:firstLineChars="200" w:firstLine="420"/>
      </w:pPr>
      <w:r>
        <w:rPr>
          <w:rFonts w:hint="eastAsia"/>
        </w:rPr>
        <w:t>同时</w:t>
      </w:r>
      <w:r w:rsidR="00697B82" w:rsidRPr="00697B82">
        <w:rPr>
          <w:rFonts w:hint="eastAsia"/>
        </w:rPr>
        <w:t>，</w:t>
      </w:r>
      <w:r>
        <w:rPr>
          <w:rFonts w:ascii="Segoe UI" w:hAnsi="Segoe UI" w:cs="Segoe UI"/>
          <w:shd w:val="clear" w:color="auto" w:fill="FFFFFF"/>
        </w:rPr>
        <w:t>课程注重将社会主义核心价值观融入专业教学全过程，</w:t>
      </w:r>
      <w:r w:rsidR="00697B82" w:rsidRPr="00697B82">
        <w:rPr>
          <w:rFonts w:hint="eastAsia"/>
        </w:rPr>
        <w:t>培养学生公平客观、诚信透明的控制理念，树立正确的权责平衡与激励约束观，增强制度规范与程序正义的意识，培养数据驱动决策与科学管理的态度。学生将理解管理控制与企业可持续发展的关系，培养利益相关者共赢的管理理念，认识管理控制在防范舞弊与风险管控中的作用，树立绿色发展、环境友好的管理控制思想。同时，学生将了解中国特色管理控制实践的创新发展，认识管理控制在国家治理体系中的价值，</w:t>
      </w:r>
      <w:r>
        <w:rPr>
          <w:rFonts w:ascii="Segoe UI" w:hAnsi="Segoe UI" w:cs="Segoe UI"/>
          <w:shd w:val="clear" w:color="auto" w:fill="FFFFFF"/>
        </w:rPr>
        <w:t>培养学生坚持制度自信与文化自信，增强投身国家治理现代化和经济高质量发展的主动性、创造性</w:t>
      </w:r>
      <w:r>
        <w:rPr>
          <w:rFonts w:ascii="Segoe UI" w:hAnsi="Segoe UI" w:cs="Segoe UI" w:hint="eastAsia"/>
          <w:shd w:val="clear" w:color="auto" w:fill="FFFFFF"/>
        </w:rPr>
        <w:t>。引导学生</w:t>
      </w:r>
      <w:r w:rsidRPr="00697B82">
        <w:rPr>
          <w:rFonts w:hint="eastAsia"/>
        </w:rPr>
        <w:t>理解管理控制对提</w:t>
      </w:r>
      <w:r>
        <w:rPr>
          <w:rFonts w:hint="eastAsia"/>
        </w:rPr>
        <w:t>升国家经济效率的意义，培养为中国企业管理现代化贡献智慧的责任感，并</w:t>
      </w:r>
      <w:r>
        <w:rPr>
          <w:rFonts w:ascii="Segoe UI" w:hAnsi="Segoe UI" w:cs="Segoe UI"/>
          <w:shd w:val="clear" w:color="auto" w:fill="FFFFFF"/>
        </w:rPr>
        <w:t>鼓励学生关心绿色发展、可持续经营与社会责任，积极追求企业价值与社会价值的协同，实现个人理想与国家民族复兴目标相统一，成长为具备国际视野、科学精神和中国情怀的高素质管理人才。</w:t>
      </w:r>
    </w:p>
    <w:p w:rsidR="008907DE" w:rsidRDefault="008907DE">
      <w:pPr>
        <w:tabs>
          <w:tab w:val="left" w:pos="3610"/>
        </w:tabs>
        <w:ind w:firstLineChars="200" w:firstLine="420"/>
        <w:rPr>
          <w:szCs w:val="21"/>
        </w:rPr>
      </w:pPr>
    </w:p>
    <w:p w:rsidR="00697B82" w:rsidRDefault="00047B17" w:rsidP="00697B82">
      <w:pPr>
        <w:rPr>
          <w:b/>
          <w:color w:val="FF0000"/>
        </w:rPr>
      </w:pPr>
      <w:r>
        <w:rPr>
          <w:b/>
        </w:rPr>
        <w:t>课程设置知识要求：</w:t>
      </w:r>
      <w:r w:rsidR="00697B82">
        <w:rPr>
          <w:rFonts w:ascii="Segoe UI" w:hAnsi="Segoe UI" w:cs="Segoe UI"/>
          <w:shd w:val="clear" w:color="auto" w:fill="FFFFFF"/>
        </w:rPr>
        <w:t>学生应具备基本的人文社会科学知识，包括组织伦理观念、商业道德认知和企业社会责任理念，同时拥有初步的哲学思辨能力、系统思维方法和心理学基础，以及一定的外语阅读和商务沟通表达能力，这有助于理解和设计复杂控制系统。在数学与自然科学方面，学生需掌握基础数学知识，特别是概率统计方法，具备建模思维和逻辑分析能力，以支持绩效数据处理和控制模型构建。计算机应用方面，应当熟练使用</w:t>
      </w:r>
      <w:r w:rsidR="00697B82">
        <w:rPr>
          <w:rFonts w:ascii="Segoe UI" w:hAnsi="Segoe UI" w:cs="Segoe UI"/>
          <w:shd w:val="clear" w:color="auto" w:fill="FFFFFF"/>
        </w:rPr>
        <w:t>Excel</w:t>
      </w:r>
      <w:r w:rsidR="00697B82">
        <w:rPr>
          <w:rFonts w:ascii="Segoe UI" w:hAnsi="Segoe UI" w:cs="Segoe UI"/>
          <w:shd w:val="clear" w:color="auto" w:fill="FFFFFF"/>
        </w:rPr>
        <w:t>等电子表格软件进行预算编制和数据分析，了解管理信息系统和</w:t>
      </w:r>
      <w:r w:rsidR="00697B82">
        <w:rPr>
          <w:rFonts w:ascii="Segoe UI" w:hAnsi="Segoe UI" w:cs="Segoe UI"/>
          <w:shd w:val="clear" w:color="auto" w:fill="FFFFFF"/>
        </w:rPr>
        <w:t>ERP</w:t>
      </w:r>
      <w:r w:rsidR="00697B82">
        <w:rPr>
          <w:rFonts w:ascii="Segoe UI" w:hAnsi="Segoe UI" w:cs="Segoe UI"/>
          <w:shd w:val="clear" w:color="auto" w:fill="FFFFFF"/>
        </w:rPr>
        <w:t>基本概念，对数据可视化有初步认识。专业基础知识方面，学生应系统掌握管理学原理、会计学原理、财务管理、成本会计等课程内容，理解组织结构设计原则，熟悉会计核算方法和财务分析技术，同时了解战略管理和组织行为学基础知识，理解激励理论和领导理论。此外，学生还应具备微观经济学基础，理解市场机制和资源配置原理，掌握基本的绩效评价指标体系，了解预算管理流程和企业内部控制风险管理理念。</w:t>
      </w:r>
    </w:p>
    <w:p w:rsidR="008907DE" w:rsidRDefault="00B043DC" w:rsidP="00B043DC">
      <w:pPr>
        <w:ind w:firstLineChars="200" w:firstLine="420"/>
        <w:rPr>
          <w:b/>
          <w:color w:val="FF0000"/>
        </w:rPr>
      </w:pPr>
      <w:r>
        <w:rPr>
          <w:rFonts w:ascii="Segoe UI" w:hAnsi="Segoe UI" w:cs="Segoe UI"/>
          <w:shd w:val="clear" w:color="auto" w:fill="FFFFFF"/>
        </w:rPr>
        <w:t>完成管理控制系统课程学习后，学生将系统掌握现代管理控制理论与实践体系，包括组织控制环境设计、责任中心构建、预算管理体系、绩效评价与激励机制、战略控制工具及其整合应用。学生将深入理解管理控制在战略实施和组织治理中的核心作用，掌握不同类型组织的管理控制特点和实施方法。同时，学生将了解管理控制的前沿发展趋势，如数字化转型背景下的管理控制创新、可持续发展导向的综合绩效管理等新兴领域，形成融合战略管理、行为控制和系统思维的管理控制知识结构。</w:t>
      </w:r>
    </w:p>
    <w:p w:rsidR="008907DE" w:rsidRDefault="008907DE">
      <w:pPr>
        <w:rPr>
          <w:b/>
        </w:rPr>
      </w:pPr>
    </w:p>
    <w:p w:rsidR="00B043DC" w:rsidRPr="00B043DC" w:rsidRDefault="00047B17" w:rsidP="00B043DC">
      <w:r>
        <w:rPr>
          <w:b/>
        </w:rPr>
        <w:t>课程设置能力要求</w:t>
      </w:r>
      <w:r>
        <w:t>：</w:t>
      </w:r>
      <w:r w:rsidRPr="00B043DC">
        <w:t xml:space="preserve"> </w:t>
      </w:r>
      <w:r w:rsidR="00B043DC" w:rsidRPr="00B043DC">
        <w:rPr>
          <w:rFonts w:hint="eastAsia"/>
        </w:rPr>
        <w:t>本课程采用案例教学、情景模拟与理论讲授相结合的授课方式，运用翻转课堂、小组讨论、企业调研和管理控制系统设计等多元化教学方法，培养学生在管理控</w:t>
      </w:r>
      <w:r w:rsidR="00B043DC" w:rsidRPr="00B043DC">
        <w:rPr>
          <w:rFonts w:hint="eastAsia"/>
        </w:rPr>
        <w:lastRenderedPageBreak/>
        <w:t>制领域的综合能力。</w:t>
      </w:r>
    </w:p>
    <w:p w:rsidR="00B043DC" w:rsidRPr="00B043DC" w:rsidRDefault="00B043DC" w:rsidP="00EB2532">
      <w:pPr>
        <w:ind w:firstLineChars="200" w:firstLine="420"/>
      </w:pPr>
      <w:r w:rsidRPr="00B043DC">
        <w:rPr>
          <w:rFonts w:hint="eastAsia"/>
        </w:rPr>
        <w:t>通过组织案例分析和管理控制实践报告撰写，学生能够系统收集、筛选和整合管理控制相关信息，熟练运用财务与非财务指标分析组织绩效，并以专业方式呈现分析结果。课前预习要求学生查阅企业管理控制案例资料和最新理论文献，在课堂讨论和汇报环节运用专业术语清晰表达管理控制问题诊断和解决方案，提升专业沟通能力。课程设置教学视频和阅读资料的课前预习任务，引导学生自主查阅管理控制新理念和实践案例，培养持续学习的习惯，使学生能够适应管理控制理论和实践的持续发展，不断更新知识结构。</w:t>
      </w:r>
    </w:p>
    <w:p w:rsidR="00B043DC" w:rsidRPr="00B043DC" w:rsidRDefault="00B043DC" w:rsidP="00EB2532">
      <w:pPr>
        <w:ind w:firstLineChars="200" w:firstLine="420"/>
      </w:pPr>
      <w:r w:rsidRPr="00B043DC">
        <w:rPr>
          <w:rFonts w:hint="eastAsia"/>
        </w:rPr>
        <w:t>通过企业全面控制系统分析和价值链管理控制案例教学，学生能够从整体视角理解管理控制与战略、组织结构、企业文化和运营管理的关系，认识不同管理控制要素间的相互作用机制，形成系统认知能力。课程融入管理控制系统设计实验和预算系统构建训练，学生需要设计平衡计分卡指标体系和预算控制流程，通过</w:t>
      </w:r>
      <w:r w:rsidRPr="00B043DC">
        <w:rPr>
          <w:rFonts w:hint="eastAsia"/>
        </w:rPr>
        <w:t>Excel</w:t>
      </w:r>
      <w:r w:rsidRPr="00B043DC">
        <w:rPr>
          <w:rFonts w:hint="eastAsia"/>
        </w:rPr>
        <w:t>高级应用和管理控制软件操作，培养设计和开发实用管理控制工具的系统开发能力。采用团队项目和小组案例分析，学生在责任中心设计、战略地图构建、全面预算方案制定等任务中需承担不同角色，通过模拟管理控制委员会和绩效评价小组等情景，培养在管理控制团队中的协作、沟通和领导能力。</w:t>
      </w:r>
    </w:p>
    <w:p w:rsidR="008907DE" w:rsidRPr="00B043DC" w:rsidRDefault="00B043DC" w:rsidP="00EB2532">
      <w:pPr>
        <w:ind w:firstLineChars="200" w:firstLine="420"/>
        <w:rPr>
          <w:i/>
          <w:sz w:val="22"/>
        </w:rPr>
      </w:pPr>
      <w:r w:rsidRPr="00B043DC">
        <w:rPr>
          <w:rFonts w:hint="eastAsia"/>
        </w:rPr>
        <w:t>通过上述能力培养，学生将能够胜任企业预算管理、绩效评价、管理分析等专业岗位，并具备成长为管理控制领域高级人才的潜质。这些能力同样适用于战略规划、组织设计、变革管理等相关领域，为学生未来在各类组织中的职业发展奠定坚实基础。</w:t>
      </w:r>
    </w:p>
    <w:p w:rsidR="008907DE" w:rsidRDefault="008907DE">
      <w:pPr>
        <w:tabs>
          <w:tab w:val="left" w:pos="3610"/>
        </w:tabs>
        <w:rPr>
          <w:b/>
        </w:rPr>
      </w:pPr>
    </w:p>
    <w:p w:rsidR="00B043DC" w:rsidRPr="00C52D55" w:rsidRDefault="00B043DC" w:rsidP="00B043DC">
      <w:pPr>
        <w:spacing w:afterLines="30" w:after="93"/>
        <w:rPr>
          <w:b/>
        </w:rPr>
      </w:pPr>
      <w:r>
        <w:rPr>
          <w:rFonts w:hint="eastAsia"/>
          <w:b/>
        </w:rPr>
        <w:t>课程</w:t>
      </w:r>
      <w:r w:rsidRPr="00C52D55">
        <w:rPr>
          <w:rFonts w:hint="eastAsia"/>
          <w:b/>
        </w:rPr>
        <w:t>考核形式</w:t>
      </w:r>
    </w:p>
    <w:p w:rsidR="00B043DC" w:rsidRDefault="00B043DC" w:rsidP="00B043DC">
      <w:pPr>
        <w:tabs>
          <w:tab w:val="left" w:pos="3610"/>
        </w:tabs>
      </w:pPr>
      <w:r>
        <w:rPr>
          <w:rFonts w:hint="eastAsia"/>
        </w:rPr>
        <w:t xml:space="preserve">    </w:t>
      </w:r>
      <w:r>
        <w:rPr>
          <w:rFonts w:hint="eastAsia"/>
        </w:rPr>
        <w:t>将各章节内容适时举行课堂讨论，一般在学完各章基本内容之后，用</w:t>
      </w:r>
      <w:r>
        <w:rPr>
          <w:rFonts w:hint="eastAsia"/>
        </w:rPr>
        <w:t>30</w:t>
      </w:r>
      <w:r>
        <w:rPr>
          <w:rFonts w:hint="eastAsia"/>
        </w:rPr>
        <w:t>分钟的时间结合课程重点，展开案例讨论。另外，为加深学生对知识原理的理解和运用，留一定的课后作业。课程最终考核方法如下：</w:t>
      </w:r>
    </w:p>
    <w:p w:rsidR="00B043DC" w:rsidRDefault="00B043DC" w:rsidP="00B043DC">
      <w:pPr>
        <w:tabs>
          <w:tab w:val="left" w:pos="3610"/>
        </w:tabs>
        <w:ind w:firstLine="435"/>
      </w:pPr>
      <w:r>
        <w:rPr>
          <w:rFonts w:hint="eastAsia"/>
        </w:rPr>
        <w:t>考</w:t>
      </w:r>
      <w:r>
        <w:rPr>
          <w:rFonts w:hint="eastAsia"/>
        </w:rPr>
        <w:t xml:space="preserve">    </w:t>
      </w:r>
      <w:r>
        <w:rPr>
          <w:rFonts w:hint="eastAsia"/>
        </w:rPr>
        <w:t>勤</w:t>
      </w:r>
      <w:r>
        <w:rPr>
          <w:rFonts w:hint="eastAsia"/>
        </w:rPr>
        <w:t xml:space="preserve">                           </w:t>
      </w:r>
      <w:r>
        <w:t>10</w:t>
      </w:r>
      <w:r>
        <w:rPr>
          <w:rFonts w:hint="eastAsia"/>
        </w:rPr>
        <w:t>%</w:t>
      </w:r>
    </w:p>
    <w:p w:rsidR="00B043DC" w:rsidRDefault="00B043DC" w:rsidP="00B043DC">
      <w:pPr>
        <w:tabs>
          <w:tab w:val="left" w:pos="3610"/>
        </w:tabs>
        <w:ind w:firstLine="435"/>
      </w:pPr>
      <w:r>
        <w:rPr>
          <w:rFonts w:hint="eastAsia"/>
        </w:rPr>
        <w:t>课堂讨论</w:t>
      </w:r>
      <w:r>
        <w:rPr>
          <w:rFonts w:hint="eastAsia"/>
        </w:rPr>
        <w:t xml:space="preserve">                           </w:t>
      </w:r>
      <w:r>
        <w:t>15</w:t>
      </w:r>
      <w:r>
        <w:rPr>
          <w:rFonts w:hint="eastAsia"/>
        </w:rPr>
        <w:t>%</w:t>
      </w:r>
    </w:p>
    <w:p w:rsidR="00B043DC" w:rsidRDefault="00B043DC" w:rsidP="00B043DC">
      <w:pPr>
        <w:tabs>
          <w:tab w:val="left" w:pos="3610"/>
        </w:tabs>
        <w:ind w:firstLine="435"/>
      </w:pPr>
      <w:r>
        <w:rPr>
          <w:rFonts w:hint="eastAsia"/>
        </w:rPr>
        <w:t>课后案例分析</w:t>
      </w:r>
      <w:r>
        <w:rPr>
          <w:rFonts w:hint="eastAsia"/>
        </w:rPr>
        <w:t xml:space="preserve">                       </w:t>
      </w:r>
      <w:r>
        <w:t>15</w:t>
      </w:r>
      <w:r>
        <w:rPr>
          <w:rFonts w:hint="eastAsia"/>
        </w:rPr>
        <w:t>%</w:t>
      </w:r>
    </w:p>
    <w:p w:rsidR="00B043DC" w:rsidRDefault="00B043DC" w:rsidP="00B043DC">
      <w:pPr>
        <w:tabs>
          <w:tab w:val="left" w:pos="3610"/>
        </w:tabs>
        <w:ind w:firstLine="435"/>
      </w:pPr>
      <w:r>
        <w:rPr>
          <w:rFonts w:hint="eastAsia"/>
        </w:rPr>
        <w:t>期末考试</w:t>
      </w:r>
      <w:r>
        <w:rPr>
          <w:rFonts w:hint="eastAsia"/>
        </w:rPr>
        <w:t xml:space="preserve">                           60%</w:t>
      </w:r>
    </w:p>
    <w:p w:rsidR="00B043DC" w:rsidRDefault="00B043DC" w:rsidP="00B043DC">
      <w:pPr>
        <w:tabs>
          <w:tab w:val="left" w:pos="3610"/>
        </w:tabs>
        <w:rPr>
          <w:b/>
        </w:rPr>
      </w:pPr>
    </w:p>
    <w:p w:rsidR="00B043DC" w:rsidRPr="00C52D55" w:rsidRDefault="00B043DC" w:rsidP="00B043DC">
      <w:pPr>
        <w:spacing w:afterLines="30" w:after="93"/>
        <w:rPr>
          <w:b/>
        </w:rPr>
      </w:pPr>
      <w:r>
        <w:rPr>
          <w:rFonts w:hint="eastAsia"/>
          <w:b/>
        </w:rPr>
        <w:t>期末考试</w:t>
      </w:r>
      <w:r w:rsidRPr="00C52D55">
        <w:rPr>
          <w:rFonts w:hint="eastAsia"/>
          <w:b/>
        </w:rPr>
        <w:t>试卷结构</w:t>
      </w:r>
    </w:p>
    <w:p w:rsidR="00B043DC" w:rsidRPr="00A840FD" w:rsidRDefault="00B043DC" w:rsidP="00B043DC">
      <w:pPr>
        <w:tabs>
          <w:tab w:val="left" w:pos="3610"/>
        </w:tabs>
      </w:pPr>
      <w:r w:rsidRPr="00A840FD">
        <w:rPr>
          <w:rFonts w:hint="eastAsia"/>
        </w:rPr>
        <w:t xml:space="preserve">    </w:t>
      </w:r>
      <w:r w:rsidR="00A840FD" w:rsidRPr="00A840FD">
        <w:rPr>
          <w:rFonts w:hint="eastAsia"/>
        </w:rPr>
        <w:t>概念</w:t>
      </w:r>
      <w:r w:rsidRPr="00A840FD">
        <w:rPr>
          <w:rFonts w:hint="eastAsia"/>
        </w:rPr>
        <w:t>题</w:t>
      </w:r>
      <w:r w:rsidRPr="00A840FD">
        <w:rPr>
          <w:rFonts w:hint="eastAsia"/>
        </w:rPr>
        <w:t xml:space="preserve">                         </w:t>
      </w:r>
      <w:r w:rsidR="00A840FD" w:rsidRPr="00A840FD">
        <w:t xml:space="preserve">   </w:t>
      </w:r>
      <w:r w:rsidR="00A07EBF">
        <w:t>2</w:t>
      </w:r>
      <w:r w:rsidRPr="00A840FD">
        <w:rPr>
          <w:rFonts w:hint="eastAsia"/>
        </w:rPr>
        <w:t>0%</w:t>
      </w:r>
    </w:p>
    <w:p w:rsidR="00B043DC" w:rsidRPr="00A840FD" w:rsidRDefault="00A840FD">
      <w:pPr>
        <w:tabs>
          <w:tab w:val="left" w:pos="3610"/>
        </w:tabs>
      </w:pPr>
      <w:r w:rsidRPr="00A840FD">
        <w:rPr>
          <w:rFonts w:hint="eastAsia"/>
        </w:rPr>
        <w:t xml:space="preserve"> </w:t>
      </w:r>
      <w:r w:rsidRPr="00A840FD">
        <w:t xml:space="preserve">   </w:t>
      </w:r>
      <w:r w:rsidR="00A07EBF">
        <w:rPr>
          <w:rFonts w:hint="eastAsia"/>
        </w:rPr>
        <w:t>简答</w:t>
      </w:r>
      <w:r w:rsidRPr="00A840FD">
        <w:rPr>
          <w:rFonts w:hint="eastAsia"/>
        </w:rPr>
        <w:t>题</w:t>
      </w:r>
      <w:r w:rsidRPr="00A840FD">
        <w:rPr>
          <w:rFonts w:hint="eastAsia"/>
        </w:rPr>
        <w:t xml:space="preserve"> </w:t>
      </w:r>
      <w:r w:rsidRPr="00A840FD">
        <w:t xml:space="preserve">                           </w:t>
      </w:r>
      <w:r w:rsidR="00A07EBF">
        <w:t>6</w:t>
      </w:r>
      <w:r w:rsidRPr="00A840FD">
        <w:t>0%</w:t>
      </w:r>
    </w:p>
    <w:p w:rsidR="00A840FD" w:rsidRPr="00A840FD" w:rsidRDefault="00A840FD" w:rsidP="00A840FD">
      <w:pPr>
        <w:tabs>
          <w:tab w:val="left" w:pos="3610"/>
        </w:tabs>
      </w:pPr>
      <w:r w:rsidRPr="00A840FD">
        <w:rPr>
          <w:rFonts w:hint="eastAsia"/>
        </w:rPr>
        <w:t xml:space="preserve"> </w:t>
      </w:r>
      <w:r w:rsidRPr="00A840FD">
        <w:t xml:space="preserve">   </w:t>
      </w:r>
      <w:r w:rsidR="00A07EBF">
        <w:rPr>
          <w:rFonts w:hint="eastAsia"/>
        </w:rPr>
        <w:t>论述</w:t>
      </w:r>
      <w:r w:rsidRPr="00A840FD">
        <w:rPr>
          <w:rFonts w:hint="eastAsia"/>
        </w:rPr>
        <w:t>题</w:t>
      </w:r>
      <w:r w:rsidRPr="00A840FD">
        <w:rPr>
          <w:rFonts w:hint="eastAsia"/>
        </w:rPr>
        <w:t xml:space="preserve"> </w:t>
      </w:r>
      <w:r w:rsidRPr="00A840FD">
        <w:t xml:space="preserve">                           </w:t>
      </w:r>
      <w:r w:rsidR="00A07EBF">
        <w:t>2</w:t>
      </w:r>
      <w:r w:rsidRPr="00A840FD">
        <w:t>0%</w:t>
      </w:r>
    </w:p>
    <w:p w:rsidR="00B043DC" w:rsidRDefault="00B043DC">
      <w:pPr>
        <w:tabs>
          <w:tab w:val="left" w:pos="3610"/>
        </w:tabs>
        <w:rPr>
          <w:b/>
        </w:rPr>
      </w:pPr>
    </w:p>
    <w:p w:rsidR="008907DE" w:rsidRDefault="008907DE">
      <w:pPr>
        <w:tabs>
          <w:tab w:val="left" w:pos="3610"/>
        </w:tabs>
      </w:pPr>
    </w:p>
    <w:p w:rsidR="008907DE" w:rsidRDefault="00047B17">
      <w:pPr>
        <w:tabs>
          <w:tab w:val="left" w:pos="3610"/>
        </w:tabs>
        <w:rPr>
          <w:b/>
        </w:rPr>
      </w:pPr>
      <w:r>
        <w:rPr>
          <w:rFonts w:hint="eastAsia"/>
          <w:b/>
        </w:rPr>
        <w:t>学术诚实</w:t>
      </w:r>
    </w:p>
    <w:p w:rsidR="008907DE" w:rsidRDefault="00047B17">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rsidR="008907DE" w:rsidRDefault="008907DE">
      <w:pPr>
        <w:tabs>
          <w:tab w:val="left" w:pos="3610"/>
        </w:tabs>
      </w:pPr>
    </w:p>
    <w:p w:rsidR="00EB2532" w:rsidRDefault="00EB2532">
      <w:pPr>
        <w:tabs>
          <w:tab w:val="left" w:pos="3610"/>
        </w:tabs>
        <w:jc w:val="center"/>
        <w:rPr>
          <w:b/>
          <w:sz w:val="36"/>
          <w:szCs w:val="36"/>
        </w:rPr>
      </w:pPr>
    </w:p>
    <w:p w:rsidR="00EB2532" w:rsidRDefault="00EB2532">
      <w:pPr>
        <w:tabs>
          <w:tab w:val="left" w:pos="3610"/>
        </w:tabs>
        <w:jc w:val="center"/>
        <w:rPr>
          <w:b/>
          <w:sz w:val="36"/>
          <w:szCs w:val="36"/>
        </w:rPr>
      </w:pPr>
    </w:p>
    <w:p w:rsidR="00EB2532" w:rsidRDefault="00EB2532">
      <w:pPr>
        <w:tabs>
          <w:tab w:val="left" w:pos="3610"/>
        </w:tabs>
        <w:jc w:val="center"/>
        <w:rPr>
          <w:b/>
          <w:sz w:val="36"/>
          <w:szCs w:val="36"/>
        </w:rPr>
      </w:pPr>
    </w:p>
    <w:p w:rsidR="008907DE" w:rsidRDefault="00B043DC">
      <w:pPr>
        <w:tabs>
          <w:tab w:val="left" w:pos="3610"/>
        </w:tabs>
        <w:jc w:val="center"/>
        <w:rPr>
          <w:b/>
          <w:sz w:val="36"/>
          <w:szCs w:val="36"/>
        </w:rPr>
      </w:pPr>
      <w:bookmarkStart w:id="0" w:name="_GoBack"/>
      <w:bookmarkEnd w:id="0"/>
      <w:r>
        <w:rPr>
          <w:rFonts w:hint="eastAsia"/>
          <w:b/>
          <w:sz w:val="36"/>
          <w:szCs w:val="36"/>
        </w:rPr>
        <w:lastRenderedPageBreak/>
        <w:t>管理控制系统</w:t>
      </w:r>
      <w:r w:rsidR="00047B17">
        <w:rPr>
          <w:rFonts w:hint="eastAsia"/>
          <w:b/>
          <w:sz w:val="36"/>
          <w:szCs w:val="36"/>
        </w:rPr>
        <w:t>课程教学要点</w:t>
      </w:r>
    </w:p>
    <w:p w:rsidR="008907DE" w:rsidRDefault="00047B17">
      <w:pPr>
        <w:jc w:val="center"/>
        <w:rPr>
          <w:b/>
          <w:sz w:val="32"/>
          <w:szCs w:val="32"/>
        </w:rPr>
      </w:pPr>
      <w:r>
        <w:rPr>
          <w:rFonts w:hint="eastAsia"/>
          <w:b/>
          <w:sz w:val="32"/>
          <w:szCs w:val="32"/>
        </w:rPr>
        <w:t>教学大纲</w:t>
      </w:r>
    </w:p>
    <w:p w:rsidR="008907DE" w:rsidRDefault="008907DE"/>
    <w:p w:rsidR="00B043DC" w:rsidRPr="00317A92" w:rsidRDefault="00B043DC" w:rsidP="00B043DC">
      <w:pPr>
        <w:tabs>
          <w:tab w:val="left" w:pos="3610"/>
        </w:tabs>
        <w:rPr>
          <w:b/>
        </w:rPr>
      </w:pPr>
    </w:p>
    <w:p w:rsidR="00B043DC" w:rsidRPr="00CB3DD1" w:rsidRDefault="00B043DC" w:rsidP="00B043DC">
      <w:pPr>
        <w:numPr>
          <w:ilvl w:val="0"/>
          <w:numId w:val="2"/>
        </w:numPr>
        <w:spacing w:afterLines="50" w:after="156"/>
        <w:ind w:left="748" w:hanging="748"/>
        <w:rPr>
          <w:b/>
          <w:bCs/>
        </w:rPr>
      </w:pPr>
      <w:r>
        <w:rPr>
          <w:rFonts w:hint="eastAsia"/>
          <w:b/>
          <w:bCs/>
        </w:rPr>
        <w:t>管理控制系统的性质</w:t>
      </w:r>
    </w:p>
    <w:p w:rsidR="00B043DC" w:rsidRDefault="00B043DC" w:rsidP="00B043DC">
      <w:pPr>
        <w:ind w:firstLineChars="200" w:firstLine="420"/>
      </w:pPr>
      <w:r>
        <w:rPr>
          <w:rFonts w:hint="eastAsia"/>
          <w:szCs w:val="21"/>
        </w:rPr>
        <w:t>本章为介绍性章节，其第一部分阐述了在本书标题中出现的三个词汇：控制、管理和系统。第二部分将重点讲述的管理控制功能同另外两种计划和控制功能：战略设计和任务控制区别开来。第三部分提供了对本篇内容的一个综述，同时也对每一章的内容给予简单的概括。</w:t>
      </w:r>
    </w:p>
    <w:p w:rsidR="00B043DC" w:rsidRDefault="00B043DC" w:rsidP="00B043DC">
      <w:pPr>
        <w:numPr>
          <w:ilvl w:val="0"/>
          <w:numId w:val="3"/>
        </w:numPr>
        <w:ind w:hanging="849"/>
      </w:pPr>
      <w:r>
        <w:rPr>
          <w:rFonts w:hint="eastAsia"/>
        </w:rPr>
        <w:t>基本概念</w:t>
      </w:r>
    </w:p>
    <w:p w:rsidR="002D1AB1" w:rsidRDefault="00B043DC" w:rsidP="002D1AB1">
      <w:pPr>
        <w:numPr>
          <w:ilvl w:val="0"/>
          <w:numId w:val="3"/>
        </w:numPr>
        <w:tabs>
          <w:tab w:val="clear" w:pos="1275"/>
          <w:tab w:val="num" w:pos="426"/>
        </w:tabs>
        <w:ind w:left="426" w:firstLine="0"/>
      </w:pPr>
      <w:r>
        <w:rPr>
          <w:rFonts w:hint="eastAsia"/>
        </w:rPr>
        <w:t>管理控制的边界</w:t>
      </w:r>
    </w:p>
    <w:p w:rsidR="00B043DC" w:rsidRDefault="002D1AB1" w:rsidP="00EB2532">
      <w:pPr>
        <w:ind w:leftChars="-1" w:left="-2"/>
        <w:rPr>
          <w:rFonts w:ascii="Segoe UI" w:hAnsi="Segoe UI" w:cs="Segoe UI"/>
          <w:shd w:val="clear" w:color="auto" w:fill="FFFFFF"/>
        </w:rPr>
      </w:pPr>
      <w:proofErr w:type="gramStart"/>
      <w:r w:rsidRPr="002D1AB1">
        <w:rPr>
          <w:rStyle w:val="ad"/>
          <w:rFonts w:ascii="Segoe UI" w:hAnsi="Segoe UI" w:cs="Segoe UI"/>
          <w:shd w:val="clear" w:color="auto" w:fill="FFFFFF"/>
        </w:rPr>
        <w:t>思政元素</w:t>
      </w:r>
      <w:proofErr w:type="gramEnd"/>
      <w:r w:rsidRPr="002D1AB1">
        <w:rPr>
          <w:rFonts w:ascii="Segoe UI" w:hAnsi="Segoe UI" w:cs="Segoe UI"/>
          <w:shd w:val="clear" w:color="auto" w:fill="FFFFFF"/>
        </w:rPr>
        <w:t>：结合中国特色社会主义市场经济的制度优势，阐述管理控制在国家治理体系和治理能力现代化中的重要作用。引导学生认识到科学的管理控制既是企业高质量发展的保障，也是国家宏观经济调控的重要环节，培养学生将个人发展融入国家发展大局的家国情怀。</w:t>
      </w:r>
    </w:p>
    <w:p w:rsidR="002D1AB1" w:rsidRDefault="002D1AB1" w:rsidP="002D1AB1">
      <w:pPr>
        <w:ind w:left="426"/>
      </w:pPr>
    </w:p>
    <w:p w:rsidR="00B043DC" w:rsidRDefault="00B043DC" w:rsidP="002D1AB1">
      <w:pPr>
        <w:ind w:firstLineChars="200" w:firstLine="420"/>
      </w:pPr>
      <w:r>
        <w:rPr>
          <w:rFonts w:hint="eastAsia"/>
        </w:rPr>
        <w:t>讨论案例：</w:t>
      </w:r>
      <w:proofErr w:type="gramStart"/>
      <w:r>
        <w:rPr>
          <w:rFonts w:hint="eastAsia"/>
        </w:rPr>
        <w:t>钮科公司</w:t>
      </w:r>
      <w:proofErr w:type="gramEnd"/>
    </w:p>
    <w:p w:rsidR="00B043DC" w:rsidRDefault="00B043DC" w:rsidP="00B043DC">
      <w:pPr>
        <w:ind w:left="540"/>
      </w:pPr>
    </w:p>
    <w:p w:rsidR="00B043DC" w:rsidRPr="00CB3DD1" w:rsidRDefault="00B043DC" w:rsidP="00B043DC">
      <w:pPr>
        <w:numPr>
          <w:ilvl w:val="0"/>
          <w:numId w:val="2"/>
        </w:numPr>
        <w:spacing w:afterLines="50" w:after="156"/>
        <w:ind w:left="748" w:hanging="748"/>
        <w:rPr>
          <w:b/>
          <w:bCs/>
        </w:rPr>
      </w:pPr>
      <w:r>
        <w:rPr>
          <w:rFonts w:hint="eastAsia"/>
          <w:b/>
          <w:bCs/>
        </w:rPr>
        <w:t>理解战略</w:t>
      </w:r>
    </w:p>
    <w:p w:rsidR="00B043DC" w:rsidRPr="004C1E66" w:rsidRDefault="00B043DC" w:rsidP="00B043DC">
      <w:pPr>
        <w:pStyle w:val="Default"/>
        <w:ind w:firstLine="420"/>
        <w:jc w:val="both"/>
        <w:rPr>
          <w:sz w:val="21"/>
          <w:szCs w:val="21"/>
        </w:rPr>
      </w:pPr>
      <w:r>
        <w:rPr>
          <w:rFonts w:hint="eastAsia"/>
          <w:sz w:val="21"/>
          <w:szCs w:val="21"/>
        </w:rPr>
        <w:t>管理控制系统是实施战略的工具。不同组织之间的战略有区别，控制必须根据特定战略的要求而量身定作。不同的战略要求不同的任务优先、不同的关键成功因素以及不同的技术、期望和行为。因此，对于控制系统的设计的持续关注应该集中于系统产生的行为是不是战略所要求的。战略用于实现组织的目标。因此在这一章首先描绘一下组织中的一些典型目标，然后在组织中的两个层次讨论战略问题</w:t>
      </w:r>
    </w:p>
    <w:p w:rsidR="00B043DC" w:rsidRDefault="00B043DC" w:rsidP="00B043DC">
      <w:pPr>
        <w:numPr>
          <w:ilvl w:val="0"/>
          <w:numId w:val="4"/>
        </w:numPr>
      </w:pPr>
      <w:r>
        <w:rPr>
          <w:rFonts w:hint="eastAsia"/>
        </w:rPr>
        <w:t>组织目标</w:t>
      </w:r>
    </w:p>
    <w:p w:rsidR="00B043DC" w:rsidRDefault="00B043DC" w:rsidP="00B043DC">
      <w:pPr>
        <w:numPr>
          <w:ilvl w:val="0"/>
          <w:numId w:val="4"/>
        </w:numPr>
      </w:pPr>
      <w:r>
        <w:rPr>
          <w:rFonts w:hint="eastAsia"/>
        </w:rPr>
        <w:t>战略概念</w:t>
      </w:r>
    </w:p>
    <w:p w:rsidR="00B043DC" w:rsidRDefault="00B043DC" w:rsidP="00B043DC">
      <w:pPr>
        <w:numPr>
          <w:ilvl w:val="0"/>
          <w:numId w:val="4"/>
        </w:numPr>
      </w:pPr>
      <w:r>
        <w:rPr>
          <w:rFonts w:hint="eastAsia"/>
        </w:rPr>
        <w:t>公司层面的战略</w:t>
      </w:r>
    </w:p>
    <w:p w:rsidR="002D1AB1" w:rsidRDefault="00B043DC" w:rsidP="00B043DC">
      <w:pPr>
        <w:numPr>
          <w:ilvl w:val="0"/>
          <w:numId w:val="4"/>
        </w:numPr>
      </w:pPr>
      <w:r>
        <w:rPr>
          <w:rFonts w:hint="eastAsia"/>
        </w:rPr>
        <w:t>经营单元层面的战略</w:t>
      </w:r>
    </w:p>
    <w:p w:rsidR="00B043DC" w:rsidRPr="00EB2532" w:rsidRDefault="002D1AB1" w:rsidP="00EB2532">
      <w:pPr>
        <w:ind w:leftChars="-1" w:left="-2"/>
        <w:rPr>
          <w:rStyle w:val="ad"/>
          <w:rFonts w:ascii="Segoe UI" w:hAnsi="Segoe UI" w:cs="Segoe UI"/>
          <w:b w:val="0"/>
          <w:shd w:val="clear" w:color="auto" w:fill="FFFFFF"/>
        </w:rPr>
      </w:pPr>
      <w:proofErr w:type="gramStart"/>
      <w:r w:rsidRPr="002D1AB1">
        <w:rPr>
          <w:rStyle w:val="ad"/>
          <w:rFonts w:ascii="Segoe UI" w:hAnsi="Segoe UI" w:cs="Segoe UI"/>
          <w:shd w:val="clear" w:color="auto" w:fill="FFFFFF"/>
        </w:rPr>
        <w:t>思政元素</w:t>
      </w:r>
      <w:proofErr w:type="gramEnd"/>
      <w:r w:rsidRPr="00EB2532">
        <w:rPr>
          <w:rStyle w:val="ad"/>
        </w:rPr>
        <w:t>：</w:t>
      </w:r>
      <w:r w:rsidRPr="00EB2532">
        <w:rPr>
          <w:rStyle w:val="ad"/>
          <w:b w:val="0"/>
        </w:rPr>
        <w:t>结合中国企业</w:t>
      </w:r>
      <w:r w:rsidRPr="00EB2532">
        <w:rPr>
          <w:rStyle w:val="ad"/>
          <w:b w:val="0"/>
        </w:rPr>
        <w:t>"</w:t>
      </w:r>
      <w:r w:rsidRPr="00EB2532">
        <w:rPr>
          <w:rStyle w:val="ad"/>
          <w:b w:val="0"/>
        </w:rPr>
        <w:t>走出去</w:t>
      </w:r>
      <w:r w:rsidRPr="00EB2532">
        <w:rPr>
          <w:rStyle w:val="ad"/>
          <w:b w:val="0"/>
        </w:rPr>
        <w:t>"</w:t>
      </w:r>
      <w:r w:rsidRPr="00EB2532">
        <w:rPr>
          <w:rStyle w:val="ad"/>
          <w:b w:val="0"/>
        </w:rPr>
        <w:t>战略和</w:t>
      </w:r>
      <w:r w:rsidRPr="00EB2532">
        <w:rPr>
          <w:rStyle w:val="ad"/>
          <w:b w:val="0"/>
        </w:rPr>
        <w:t>"</w:t>
      </w:r>
      <w:r w:rsidRPr="00EB2532">
        <w:rPr>
          <w:rStyle w:val="ad"/>
          <w:b w:val="0"/>
        </w:rPr>
        <w:t>一带一路</w:t>
      </w:r>
      <w:r w:rsidRPr="00EB2532">
        <w:rPr>
          <w:rStyle w:val="ad"/>
          <w:b w:val="0"/>
        </w:rPr>
        <w:t>"</w:t>
      </w:r>
      <w:r w:rsidRPr="00EB2532">
        <w:rPr>
          <w:rStyle w:val="ad"/>
          <w:b w:val="0"/>
        </w:rPr>
        <w:t>倡议，分析中国企业战略制定与实施的特色与创新。引导学生思考如何将个人职业规划与国家发展战略相结合，培养学生的战略思维和使命担当，激发为中华民族伟大复兴贡献智慧和力量的责任感。</w:t>
      </w:r>
    </w:p>
    <w:p w:rsidR="00B043DC" w:rsidRDefault="00B043DC" w:rsidP="00B043DC">
      <w:pPr>
        <w:ind w:left="540"/>
      </w:pPr>
    </w:p>
    <w:p w:rsidR="00B043DC" w:rsidRPr="00CB3DD1" w:rsidRDefault="00B043DC" w:rsidP="00B043DC">
      <w:pPr>
        <w:numPr>
          <w:ilvl w:val="0"/>
          <w:numId w:val="2"/>
        </w:numPr>
        <w:spacing w:afterLines="50" w:after="156"/>
        <w:ind w:left="748" w:hanging="748"/>
        <w:rPr>
          <w:b/>
          <w:bCs/>
        </w:rPr>
      </w:pPr>
      <w:r>
        <w:rPr>
          <w:rFonts w:hint="eastAsia"/>
          <w:b/>
          <w:bCs/>
        </w:rPr>
        <w:t>组织行为</w:t>
      </w:r>
    </w:p>
    <w:p w:rsidR="00B043DC" w:rsidRPr="0033017D" w:rsidRDefault="00B043DC" w:rsidP="00B043DC">
      <w:pPr>
        <w:pStyle w:val="Default"/>
        <w:ind w:firstLine="420"/>
        <w:jc w:val="both"/>
        <w:rPr>
          <w:sz w:val="21"/>
          <w:szCs w:val="21"/>
        </w:rPr>
      </w:pPr>
      <w:r>
        <w:rPr>
          <w:rFonts w:hint="eastAsia"/>
          <w:sz w:val="21"/>
          <w:szCs w:val="21"/>
        </w:rPr>
        <w:t>管理控制系统影响人们的行为：系统应该用与目标一致的方式来影响行为。本章从目标一致性概念的解释入手。目标一致性同时受非正规程序和正规程序的影响，这些非正规因素有组织内部的，也有组织外部的；本章将分别阐述。控制也由两种正规方法来实现。一个由</w:t>
      </w:r>
      <w:r>
        <w:rPr>
          <w:sz w:val="21"/>
          <w:szCs w:val="21"/>
        </w:rPr>
        <w:t>“</w:t>
      </w:r>
      <w:r>
        <w:rPr>
          <w:rFonts w:hint="eastAsia"/>
          <w:sz w:val="21"/>
          <w:szCs w:val="21"/>
        </w:rPr>
        <w:t>规则</w:t>
      </w:r>
      <w:r>
        <w:rPr>
          <w:sz w:val="21"/>
          <w:szCs w:val="21"/>
        </w:rPr>
        <w:t>”</w:t>
      </w:r>
      <w:r>
        <w:rPr>
          <w:rFonts w:hint="eastAsia"/>
          <w:sz w:val="21"/>
          <w:szCs w:val="21"/>
        </w:rPr>
        <w:t>组成，将概述；另一种是系统地计划和控制。不同类型组织结构可以用于实施不同的战略。由于管理控制系统应该和使用的组织结构一致，对组织结构的讨论就很重要。最后，将描述管理控制过程中主计长的功能。</w:t>
      </w:r>
    </w:p>
    <w:p w:rsidR="00B043DC" w:rsidRDefault="00B043DC" w:rsidP="00B043DC"/>
    <w:p w:rsidR="00B043DC" w:rsidRDefault="00B043DC" w:rsidP="00B043DC">
      <w:pPr>
        <w:numPr>
          <w:ilvl w:val="0"/>
          <w:numId w:val="5"/>
        </w:numPr>
      </w:pPr>
      <w:r>
        <w:rPr>
          <w:rFonts w:hint="eastAsia"/>
        </w:rPr>
        <w:t>目标一致</w:t>
      </w:r>
    </w:p>
    <w:p w:rsidR="00B043DC" w:rsidRDefault="00B043DC" w:rsidP="00B043DC">
      <w:pPr>
        <w:numPr>
          <w:ilvl w:val="0"/>
          <w:numId w:val="5"/>
        </w:numPr>
      </w:pPr>
      <w:r>
        <w:rPr>
          <w:rFonts w:hint="eastAsia"/>
        </w:rPr>
        <w:t>影响目标一致的非正式因素</w:t>
      </w:r>
    </w:p>
    <w:p w:rsidR="00B043DC" w:rsidRDefault="00B043DC" w:rsidP="00B043DC">
      <w:pPr>
        <w:numPr>
          <w:ilvl w:val="0"/>
          <w:numId w:val="5"/>
        </w:numPr>
      </w:pPr>
      <w:r>
        <w:rPr>
          <w:rFonts w:hint="eastAsia"/>
        </w:rPr>
        <w:t>正式管理控制系统</w:t>
      </w:r>
    </w:p>
    <w:p w:rsidR="00B043DC" w:rsidRDefault="00B043DC" w:rsidP="00B043DC">
      <w:pPr>
        <w:numPr>
          <w:ilvl w:val="0"/>
          <w:numId w:val="5"/>
        </w:numPr>
      </w:pPr>
      <w:r>
        <w:rPr>
          <w:rFonts w:hint="eastAsia"/>
        </w:rPr>
        <w:lastRenderedPageBreak/>
        <w:t>组织类型</w:t>
      </w:r>
    </w:p>
    <w:p w:rsidR="00B043DC" w:rsidRDefault="00B043DC" w:rsidP="00B043DC">
      <w:pPr>
        <w:numPr>
          <w:ilvl w:val="0"/>
          <w:numId w:val="5"/>
        </w:numPr>
      </w:pPr>
      <w:r>
        <w:rPr>
          <w:rFonts w:hint="eastAsia"/>
        </w:rPr>
        <w:t>财务总监的职能</w:t>
      </w:r>
    </w:p>
    <w:p w:rsidR="002D1AB1" w:rsidRPr="00EB2532" w:rsidRDefault="002D1AB1" w:rsidP="00EB2532">
      <w:pPr>
        <w:ind w:leftChars="-1" w:left="-2"/>
        <w:rPr>
          <w:rStyle w:val="ad"/>
          <w:rFonts w:ascii="Segoe UI" w:hAnsi="Segoe UI" w:cs="Segoe UI"/>
          <w:b w:val="0"/>
          <w:shd w:val="clear" w:color="auto" w:fill="FFFFFF"/>
        </w:rPr>
      </w:pPr>
      <w:proofErr w:type="gramStart"/>
      <w:r>
        <w:rPr>
          <w:rStyle w:val="ad"/>
          <w:rFonts w:ascii="Segoe UI" w:hAnsi="Segoe UI" w:cs="Segoe UI"/>
          <w:shd w:val="clear" w:color="auto" w:fill="FFFFFF"/>
        </w:rPr>
        <w:t>思政元素</w:t>
      </w:r>
      <w:proofErr w:type="gramEnd"/>
      <w:r w:rsidRPr="00EB2532">
        <w:rPr>
          <w:rStyle w:val="ad"/>
        </w:rPr>
        <w:t>：</w:t>
      </w:r>
      <w:r w:rsidRPr="00EB2532">
        <w:rPr>
          <w:rStyle w:val="ad"/>
          <w:b w:val="0"/>
        </w:rPr>
        <w:t>探讨中国传统文化中的</w:t>
      </w:r>
      <w:r w:rsidRPr="00EB2532">
        <w:rPr>
          <w:rStyle w:val="ad"/>
          <w:b w:val="0"/>
        </w:rPr>
        <w:t>"</w:t>
      </w:r>
      <w:r w:rsidRPr="00EB2532">
        <w:rPr>
          <w:rStyle w:val="ad"/>
          <w:b w:val="0"/>
        </w:rPr>
        <w:t>和合</w:t>
      </w:r>
      <w:r w:rsidRPr="00EB2532">
        <w:rPr>
          <w:rStyle w:val="ad"/>
          <w:b w:val="0"/>
        </w:rPr>
        <w:t>"</w:t>
      </w:r>
      <w:r w:rsidRPr="00EB2532">
        <w:rPr>
          <w:rStyle w:val="ad"/>
          <w:b w:val="0"/>
        </w:rPr>
        <w:t>理念与现代组织目标一致性的内在联系，分析中国特色管理哲学对组织凝聚力的影响。引导学生树立正确的集体观念和价值追求，强调个人发展与组织发展的辩证统一，培养团队协作精神和组织公民行为。</w:t>
      </w:r>
    </w:p>
    <w:p w:rsidR="002D1AB1" w:rsidRPr="00EB2532" w:rsidRDefault="002D1AB1" w:rsidP="00B043DC">
      <w:pPr>
        <w:ind w:left="540"/>
      </w:pPr>
    </w:p>
    <w:p w:rsidR="00B043DC" w:rsidRDefault="00B043DC" w:rsidP="00B043DC">
      <w:pPr>
        <w:ind w:left="540"/>
      </w:pPr>
      <w:r>
        <w:rPr>
          <w:rFonts w:hint="eastAsia"/>
        </w:rPr>
        <w:t>案例讨论：西南航空公司</w:t>
      </w:r>
    </w:p>
    <w:p w:rsidR="00B043DC" w:rsidRDefault="00B043DC" w:rsidP="00B043DC"/>
    <w:p w:rsidR="00B043DC" w:rsidRPr="00CB3DD1" w:rsidRDefault="00B043DC" w:rsidP="00B043DC">
      <w:pPr>
        <w:numPr>
          <w:ilvl w:val="0"/>
          <w:numId w:val="2"/>
        </w:numPr>
        <w:spacing w:afterLines="50" w:after="156"/>
        <w:ind w:left="748" w:hanging="748"/>
        <w:rPr>
          <w:b/>
          <w:bCs/>
        </w:rPr>
      </w:pPr>
      <w:r>
        <w:rPr>
          <w:rFonts w:hint="eastAsia"/>
          <w:b/>
          <w:bCs/>
        </w:rPr>
        <w:t>责任中心：收入和费用中心</w:t>
      </w:r>
    </w:p>
    <w:p w:rsidR="00B043DC" w:rsidRDefault="00B043DC" w:rsidP="00B043DC">
      <w:pPr>
        <w:pStyle w:val="Default"/>
        <w:ind w:firstLine="420"/>
        <w:jc w:val="both"/>
        <w:rPr>
          <w:sz w:val="21"/>
          <w:szCs w:val="21"/>
        </w:rPr>
      </w:pPr>
      <w:r>
        <w:rPr>
          <w:rFonts w:hint="eastAsia"/>
          <w:sz w:val="21"/>
          <w:szCs w:val="21"/>
        </w:rPr>
        <w:t>管理控制的重点在于责任中心的管理者行为的管理。本章是有关责任中心四个章节中的首章。本章将总体描绘责任中心的特性以及在评价管理者的效率和效用的标准。而后将讨论收入中心和费用中心</w:t>
      </w:r>
      <w:r>
        <w:rPr>
          <w:rFonts w:ascii="Times New Roman" w:cs="Times New Roman"/>
          <w:sz w:val="21"/>
          <w:szCs w:val="21"/>
        </w:rPr>
        <w:t>(</w:t>
      </w:r>
      <w:r>
        <w:rPr>
          <w:rFonts w:hint="eastAsia"/>
          <w:sz w:val="21"/>
          <w:szCs w:val="21"/>
        </w:rPr>
        <w:t>责任中心的两种典型类型</w:t>
      </w:r>
      <w:r>
        <w:rPr>
          <w:rFonts w:ascii="Times New Roman" w:cs="Times New Roman"/>
          <w:sz w:val="21"/>
          <w:szCs w:val="21"/>
        </w:rPr>
        <w:t>)</w:t>
      </w:r>
      <w:r>
        <w:rPr>
          <w:rFonts w:hint="eastAsia"/>
          <w:sz w:val="21"/>
          <w:szCs w:val="21"/>
        </w:rPr>
        <w:t>。费用中心又有两种典型类型：策划费用中心</w:t>
      </w:r>
      <w:r>
        <w:rPr>
          <w:rFonts w:ascii="Times New Roman" w:cs="Times New Roman"/>
          <w:sz w:val="21"/>
          <w:szCs w:val="21"/>
        </w:rPr>
        <w:t>(</w:t>
      </w:r>
      <w:proofErr w:type="spellStart"/>
      <w:r>
        <w:rPr>
          <w:rFonts w:ascii="Times New Roman" w:cs="Times New Roman"/>
          <w:sz w:val="21"/>
          <w:szCs w:val="21"/>
        </w:rPr>
        <w:t>Enpineered</w:t>
      </w:r>
      <w:proofErr w:type="spellEnd"/>
      <w:r>
        <w:rPr>
          <w:rFonts w:ascii="Times New Roman" w:cs="Times New Roman"/>
          <w:sz w:val="21"/>
          <w:szCs w:val="21"/>
        </w:rPr>
        <w:t xml:space="preserve"> Expense Center)</w:t>
      </w:r>
      <w:r>
        <w:rPr>
          <w:rFonts w:hint="eastAsia"/>
          <w:sz w:val="21"/>
          <w:szCs w:val="21"/>
        </w:rPr>
        <w:t>和随机费用中心。随机费用中心又可以进一步划分为管理和支持中心、研究和开发中心、以及市场中心，本章将分别加以讨论。</w:t>
      </w:r>
    </w:p>
    <w:p w:rsidR="00B043DC" w:rsidRPr="006F23D6" w:rsidRDefault="00B043DC" w:rsidP="00B043DC">
      <w:pPr>
        <w:numPr>
          <w:ilvl w:val="0"/>
          <w:numId w:val="6"/>
        </w:numPr>
      </w:pPr>
      <w:r>
        <w:rPr>
          <w:rFonts w:hint="eastAsia"/>
        </w:rPr>
        <w:t>责任中心</w:t>
      </w:r>
    </w:p>
    <w:p w:rsidR="00B043DC" w:rsidRDefault="00B043DC" w:rsidP="00B043DC">
      <w:pPr>
        <w:numPr>
          <w:ilvl w:val="0"/>
          <w:numId w:val="6"/>
        </w:numPr>
      </w:pPr>
      <w:r>
        <w:rPr>
          <w:rFonts w:hint="eastAsia"/>
        </w:rPr>
        <w:t>收入中心</w:t>
      </w:r>
    </w:p>
    <w:p w:rsidR="00B043DC" w:rsidRDefault="00B043DC" w:rsidP="00B043DC">
      <w:pPr>
        <w:numPr>
          <w:ilvl w:val="0"/>
          <w:numId w:val="6"/>
        </w:numPr>
      </w:pPr>
      <w:r>
        <w:rPr>
          <w:rFonts w:hint="eastAsia"/>
        </w:rPr>
        <w:t>费用中心</w:t>
      </w:r>
    </w:p>
    <w:p w:rsidR="00B043DC" w:rsidRDefault="00B043DC" w:rsidP="00B043DC">
      <w:pPr>
        <w:numPr>
          <w:ilvl w:val="0"/>
          <w:numId w:val="6"/>
        </w:numPr>
      </w:pPr>
      <w:r>
        <w:rPr>
          <w:rFonts w:hint="eastAsia"/>
        </w:rPr>
        <w:t>行政管理和辅助中心</w:t>
      </w:r>
    </w:p>
    <w:p w:rsidR="00B043DC" w:rsidRDefault="00B043DC" w:rsidP="00B043DC">
      <w:pPr>
        <w:numPr>
          <w:ilvl w:val="0"/>
          <w:numId w:val="6"/>
        </w:numPr>
      </w:pPr>
      <w:r>
        <w:rPr>
          <w:rFonts w:hint="eastAsia"/>
        </w:rPr>
        <w:t>研发中心</w:t>
      </w:r>
    </w:p>
    <w:p w:rsidR="00B043DC" w:rsidRDefault="00B043DC" w:rsidP="00B043DC">
      <w:pPr>
        <w:numPr>
          <w:ilvl w:val="0"/>
          <w:numId w:val="6"/>
        </w:numPr>
      </w:pPr>
      <w:r>
        <w:rPr>
          <w:rFonts w:hint="eastAsia"/>
        </w:rPr>
        <w:t>营销中心</w:t>
      </w:r>
    </w:p>
    <w:p w:rsidR="002D1AB1" w:rsidRPr="00EB2532" w:rsidRDefault="002D1AB1" w:rsidP="00EB2532">
      <w:pPr>
        <w:ind w:leftChars="-1" w:left="-2"/>
        <w:rPr>
          <w:rStyle w:val="ad"/>
          <w:rFonts w:ascii="Segoe UI" w:hAnsi="Segoe UI" w:cs="Segoe UI"/>
          <w:b w:val="0"/>
          <w:shd w:val="clear" w:color="auto" w:fill="FFFFFF"/>
        </w:rPr>
      </w:pPr>
      <w:proofErr w:type="gramStart"/>
      <w:r>
        <w:rPr>
          <w:rStyle w:val="ad"/>
          <w:rFonts w:ascii="Segoe UI" w:hAnsi="Segoe UI" w:cs="Segoe UI"/>
          <w:shd w:val="clear" w:color="auto" w:fill="FFFFFF"/>
        </w:rPr>
        <w:t>思政元素</w:t>
      </w:r>
      <w:proofErr w:type="gramEnd"/>
      <w:r w:rsidRPr="00EB2532">
        <w:rPr>
          <w:rStyle w:val="ad"/>
        </w:rPr>
        <w:t>：</w:t>
      </w:r>
      <w:r w:rsidRPr="00EB2532">
        <w:rPr>
          <w:rStyle w:val="ad"/>
          <w:b w:val="0"/>
        </w:rPr>
        <w:t>结合国有企业改革与现代企业制度建设，分析责权利相统一的管理理念在实现</w:t>
      </w:r>
      <w:r w:rsidRPr="00EB2532">
        <w:rPr>
          <w:rStyle w:val="ad"/>
          <w:b w:val="0"/>
        </w:rPr>
        <w:t>"</w:t>
      </w:r>
      <w:r w:rsidRPr="00EB2532">
        <w:rPr>
          <w:rStyle w:val="ad"/>
          <w:b w:val="0"/>
        </w:rPr>
        <w:t>两个一百年</w:t>
      </w:r>
      <w:r w:rsidRPr="00EB2532">
        <w:rPr>
          <w:rStyle w:val="ad"/>
          <w:b w:val="0"/>
        </w:rPr>
        <w:t>"</w:t>
      </w:r>
      <w:r w:rsidRPr="00EB2532">
        <w:rPr>
          <w:rStyle w:val="ad"/>
          <w:b w:val="0"/>
        </w:rPr>
        <w:t>奋斗目标中的重要意义。通过责任中心的设计理念，引导学生树立正确的权责观念，增强担当精神和责任意识，培养依法合</w:t>
      </w:r>
      <w:proofErr w:type="gramStart"/>
      <w:r w:rsidRPr="00EB2532">
        <w:rPr>
          <w:rStyle w:val="ad"/>
          <w:b w:val="0"/>
        </w:rPr>
        <w:t>规</w:t>
      </w:r>
      <w:proofErr w:type="gramEnd"/>
      <w:r w:rsidRPr="00EB2532">
        <w:rPr>
          <w:rStyle w:val="ad"/>
          <w:b w:val="0"/>
        </w:rPr>
        <w:t>经营的法治思维。</w:t>
      </w:r>
    </w:p>
    <w:p w:rsidR="002D1AB1" w:rsidRDefault="002D1AB1" w:rsidP="00B043DC">
      <w:pPr>
        <w:ind w:left="540"/>
      </w:pPr>
    </w:p>
    <w:p w:rsidR="00B043DC" w:rsidRDefault="00B043DC" w:rsidP="00B043DC">
      <w:pPr>
        <w:ind w:left="540"/>
      </w:pPr>
      <w:r>
        <w:rPr>
          <w:rFonts w:hint="eastAsia"/>
        </w:rPr>
        <w:t>案例讨论：沃郡包装公司</w:t>
      </w:r>
    </w:p>
    <w:p w:rsidR="00B043DC" w:rsidRDefault="00B043DC" w:rsidP="00B043DC"/>
    <w:p w:rsidR="00B043DC" w:rsidRPr="00CB3DD1" w:rsidRDefault="00B043DC" w:rsidP="00B043DC">
      <w:pPr>
        <w:numPr>
          <w:ilvl w:val="0"/>
          <w:numId w:val="2"/>
        </w:numPr>
        <w:spacing w:afterLines="50" w:after="156"/>
        <w:ind w:left="748" w:hanging="748"/>
        <w:rPr>
          <w:b/>
          <w:bCs/>
        </w:rPr>
      </w:pPr>
      <w:r>
        <w:rPr>
          <w:rFonts w:hint="eastAsia"/>
          <w:b/>
          <w:bCs/>
        </w:rPr>
        <w:t>利润中心</w:t>
      </w:r>
    </w:p>
    <w:p w:rsidR="00B043DC" w:rsidRDefault="00B043DC" w:rsidP="00B043DC">
      <w:pPr>
        <w:ind w:firstLine="435"/>
        <w:rPr>
          <w:szCs w:val="21"/>
        </w:rPr>
      </w:pPr>
      <w:r>
        <w:rPr>
          <w:rFonts w:hint="eastAsia"/>
          <w:szCs w:val="21"/>
        </w:rPr>
        <w:t>当一个责任中心的财务表现用利润，即收入和支出的差额来衡量的时候，责任中心就叫利润中心。利润做为衡量表现的指标特别有用，因为它使高层主管可以用一个详细的标准，</w:t>
      </w:r>
      <w:r>
        <w:rPr>
          <w:szCs w:val="21"/>
        </w:rPr>
        <w:t xml:space="preserve"> </w:t>
      </w:r>
      <w:r>
        <w:rPr>
          <w:rFonts w:hint="eastAsia"/>
          <w:szCs w:val="21"/>
        </w:rPr>
        <w:t>而不是用一些指向不同的标准。在本章的第一部分，讨论在决定是否建立利润中心时应作的考虑。而后在业务部门不同于利润中心的前提下，讨论如何将业务部门建成利润中心。接下来，讨论如何将生产和市场部也建成利润中心。在本章剩余部分，将介绍衡量利润中心的利润水平的其他途径。</w:t>
      </w:r>
    </w:p>
    <w:p w:rsidR="00B043DC" w:rsidRDefault="00B043DC" w:rsidP="00B043DC">
      <w:pPr>
        <w:ind w:firstLine="435"/>
      </w:pPr>
    </w:p>
    <w:p w:rsidR="00B043DC" w:rsidRDefault="00B043DC" w:rsidP="00B043DC">
      <w:pPr>
        <w:numPr>
          <w:ilvl w:val="0"/>
          <w:numId w:val="7"/>
        </w:numPr>
      </w:pPr>
      <w:r>
        <w:rPr>
          <w:rFonts w:hint="eastAsia"/>
        </w:rPr>
        <w:t>一般考虑因素</w:t>
      </w:r>
    </w:p>
    <w:p w:rsidR="00B043DC" w:rsidRDefault="00B043DC" w:rsidP="00B043DC">
      <w:pPr>
        <w:numPr>
          <w:ilvl w:val="0"/>
          <w:numId w:val="7"/>
        </w:numPr>
      </w:pPr>
      <w:r>
        <w:rPr>
          <w:rFonts w:hint="eastAsia"/>
        </w:rPr>
        <w:t>经营单元作为利润中心</w:t>
      </w:r>
    </w:p>
    <w:p w:rsidR="00B043DC" w:rsidRDefault="00B043DC" w:rsidP="00B043DC">
      <w:pPr>
        <w:numPr>
          <w:ilvl w:val="0"/>
          <w:numId w:val="7"/>
        </w:numPr>
      </w:pPr>
      <w:r>
        <w:rPr>
          <w:rFonts w:hint="eastAsia"/>
        </w:rPr>
        <w:t>其他利润中心</w:t>
      </w:r>
    </w:p>
    <w:p w:rsidR="002D1AB1" w:rsidRDefault="00B043DC" w:rsidP="00B043DC">
      <w:pPr>
        <w:numPr>
          <w:ilvl w:val="0"/>
          <w:numId w:val="7"/>
        </w:numPr>
      </w:pPr>
      <w:r>
        <w:rPr>
          <w:rFonts w:hint="eastAsia"/>
        </w:rPr>
        <w:t>评价盈利能力</w:t>
      </w:r>
    </w:p>
    <w:p w:rsidR="005C2FE5" w:rsidRPr="00EB2532" w:rsidRDefault="002D1AB1" w:rsidP="00EB2532">
      <w:pPr>
        <w:ind w:leftChars="-1" w:left="-2"/>
        <w:rPr>
          <w:rStyle w:val="ad"/>
          <w:rFonts w:ascii="Segoe UI" w:hAnsi="Segoe UI" w:cs="Segoe UI"/>
          <w:b w:val="0"/>
          <w:shd w:val="clear" w:color="auto" w:fill="FFFFFF"/>
        </w:rPr>
      </w:pPr>
      <w:proofErr w:type="gramStart"/>
      <w:r w:rsidRPr="002D1AB1">
        <w:rPr>
          <w:rStyle w:val="ad"/>
          <w:rFonts w:ascii="Segoe UI" w:hAnsi="Segoe UI" w:cs="Segoe UI"/>
          <w:shd w:val="clear" w:color="auto" w:fill="FFFFFF"/>
        </w:rPr>
        <w:t>思政元素</w:t>
      </w:r>
      <w:proofErr w:type="gramEnd"/>
      <w:r w:rsidRPr="00EB2532">
        <w:rPr>
          <w:rStyle w:val="ad"/>
        </w:rPr>
        <w:t>：</w:t>
      </w:r>
      <w:r w:rsidRPr="00EB2532">
        <w:rPr>
          <w:rStyle w:val="ad"/>
          <w:b w:val="0"/>
        </w:rPr>
        <w:t>探讨利润中心设计与社会主义市场经济</w:t>
      </w:r>
      <w:r w:rsidRPr="00EB2532">
        <w:rPr>
          <w:rStyle w:val="ad"/>
          <w:b w:val="0"/>
        </w:rPr>
        <w:t>"</w:t>
      </w:r>
      <w:r w:rsidRPr="00EB2532">
        <w:rPr>
          <w:rStyle w:val="ad"/>
          <w:b w:val="0"/>
        </w:rPr>
        <w:t>以人民为中心</w:t>
      </w:r>
      <w:r w:rsidRPr="00EB2532">
        <w:rPr>
          <w:rStyle w:val="ad"/>
          <w:b w:val="0"/>
        </w:rPr>
        <w:t>"</w:t>
      </w:r>
      <w:r w:rsidRPr="00EB2532">
        <w:rPr>
          <w:rStyle w:val="ad"/>
          <w:b w:val="0"/>
        </w:rPr>
        <w:t>发展思想的结合，引导学生正确理解企业追求利润与承担社会责任的辩证关系。通过分析中国特色混合所有制经济中的利润中心管理创新，培养学生既重视经济效益又关注社会效益的全面发展观。</w:t>
      </w:r>
    </w:p>
    <w:p w:rsidR="005C2FE5" w:rsidRDefault="005C2FE5" w:rsidP="005C2FE5">
      <w:pPr>
        <w:ind w:left="540"/>
      </w:pPr>
    </w:p>
    <w:p w:rsidR="00B043DC" w:rsidRDefault="00B043DC" w:rsidP="005C2FE5">
      <w:pPr>
        <w:ind w:left="540"/>
      </w:pPr>
      <w:r>
        <w:rPr>
          <w:rFonts w:hint="eastAsia"/>
        </w:rPr>
        <w:t>案例讨论：利润中心问题</w:t>
      </w:r>
    </w:p>
    <w:p w:rsidR="00B043DC" w:rsidRPr="00347632" w:rsidRDefault="00B043DC" w:rsidP="00B043DC"/>
    <w:p w:rsidR="00B043DC" w:rsidRPr="00CB3DD1" w:rsidRDefault="00B043DC" w:rsidP="00B043DC">
      <w:pPr>
        <w:numPr>
          <w:ilvl w:val="0"/>
          <w:numId w:val="2"/>
        </w:numPr>
        <w:spacing w:afterLines="50" w:after="156"/>
        <w:ind w:left="748" w:hanging="748"/>
        <w:rPr>
          <w:b/>
          <w:bCs/>
        </w:rPr>
      </w:pPr>
      <w:r>
        <w:rPr>
          <w:rFonts w:hint="eastAsia"/>
          <w:b/>
          <w:bCs/>
        </w:rPr>
        <w:t>转移定价</w:t>
      </w:r>
    </w:p>
    <w:p w:rsidR="00B043DC" w:rsidRDefault="00B043DC" w:rsidP="00B043DC">
      <w:pPr>
        <w:ind w:firstLine="435"/>
        <w:rPr>
          <w:szCs w:val="21"/>
        </w:rPr>
      </w:pPr>
      <w:r>
        <w:rPr>
          <w:rFonts w:hint="eastAsia"/>
          <w:szCs w:val="21"/>
        </w:rPr>
        <w:t>今天组织思考的方向是业务分化，在经营一个分化系统中的主要挑战之一是设计一种计算公司分部之间的交易量、巨大的转移货品和服务的会计统计方法。本章讨论利润中心之间交易的转移价格形成的几种途径和使用转移价格时关键的协商和裁判系统。也讨论员工部门为利润中心提供的服务和价格。</w:t>
      </w:r>
    </w:p>
    <w:p w:rsidR="00B043DC" w:rsidRDefault="00B043DC" w:rsidP="00B043DC"/>
    <w:p w:rsidR="00B043DC" w:rsidRDefault="00B043DC" w:rsidP="00B043DC">
      <w:pPr>
        <w:numPr>
          <w:ilvl w:val="0"/>
          <w:numId w:val="8"/>
        </w:numPr>
      </w:pPr>
      <w:r>
        <w:rPr>
          <w:rFonts w:hint="eastAsia"/>
        </w:rPr>
        <w:t>转移价格的目标</w:t>
      </w:r>
    </w:p>
    <w:p w:rsidR="00B043DC" w:rsidRDefault="00B043DC" w:rsidP="00B043DC">
      <w:pPr>
        <w:numPr>
          <w:ilvl w:val="0"/>
          <w:numId w:val="8"/>
        </w:numPr>
      </w:pPr>
      <w:r>
        <w:rPr>
          <w:rFonts w:hint="eastAsia"/>
        </w:rPr>
        <w:t>转移定价方法</w:t>
      </w:r>
    </w:p>
    <w:p w:rsidR="00B043DC" w:rsidRDefault="00B043DC" w:rsidP="00B043DC">
      <w:pPr>
        <w:numPr>
          <w:ilvl w:val="0"/>
          <w:numId w:val="8"/>
        </w:numPr>
      </w:pPr>
      <w:r>
        <w:rPr>
          <w:rFonts w:hint="eastAsia"/>
        </w:rPr>
        <w:t>为公司服务定价</w:t>
      </w:r>
    </w:p>
    <w:p w:rsidR="00B043DC" w:rsidRDefault="00B043DC" w:rsidP="00B043DC">
      <w:pPr>
        <w:numPr>
          <w:ilvl w:val="0"/>
          <w:numId w:val="8"/>
        </w:numPr>
      </w:pPr>
      <w:r>
        <w:rPr>
          <w:rFonts w:hint="eastAsia"/>
        </w:rPr>
        <w:t>转移价格的管理</w:t>
      </w:r>
    </w:p>
    <w:p w:rsidR="00B043DC" w:rsidRPr="00EB2532" w:rsidRDefault="002D1AB1" w:rsidP="00EB2532">
      <w:pPr>
        <w:ind w:leftChars="-1" w:left="-2"/>
        <w:rPr>
          <w:rStyle w:val="ad"/>
          <w:b w:val="0"/>
        </w:rPr>
      </w:pPr>
      <w:proofErr w:type="gramStart"/>
      <w:r>
        <w:rPr>
          <w:rStyle w:val="ad"/>
          <w:rFonts w:ascii="Segoe UI" w:hAnsi="Segoe UI" w:cs="Segoe UI"/>
          <w:shd w:val="clear" w:color="auto" w:fill="FFFFFF"/>
        </w:rPr>
        <w:t>思政元素</w:t>
      </w:r>
      <w:proofErr w:type="gramEnd"/>
      <w:r w:rsidRPr="00EB2532">
        <w:rPr>
          <w:rStyle w:val="ad"/>
        </w:rPr>
        <w:t>：</w:t>
      </w:r>
      <w:r w:rsidRPr="00EB2532">
        <w:rPr>
          <w:rStyle w:val="ad"/>
          <w:b w:val="0"/>
        </w:rPr>
        <w:t>结合国家税收制度改革和反避税政策，分析转移定价在税收治理和企业社会责任中的伦理</w:t>
      </w:r>
      <w:proofErr w:type="gramStart"/>
      <w:r w:rsidRPr="00EB2532">
        <w:rPr>
          <w:rStyle w:val="ad"/>
          <w:b w:val="0"/>
        </w:rPr>
        <w:t>考量</w:t>
      </w:r>
      <w:proofErr w:type="gramEnd"/>
      <w:r w:rsidRPr="00EB2532">
        <w:rPr>
          <w:rStyle w:val="ad"/>
          <w:b w:val="0"/>
        </w:rPr>
        <w:t>。引导学生认识转移定价既是管理工具也是道德选择，培养诚信纳税、合法经营的价值观，增强对国家税收法律法规的敬畏意识，树立正确的商业伦理和职业道德。</w:t>
      </w:r>
    </w:p>
    <w:p w:rsidR="002D1AB1" w:rsidRPr="00EB2532" w:rsidRDefault="002D1AB1" w:rsidP="00EB2532">
      <w:pPr>
        <w:ind w:leftChars="-1" w:left="-2"/>
        <w:rPr>
          <w:rStyle w:val="ad"/>
          <w:rFonts w:ascii="Segoe UI" w:hAnsi="Segoe UI" w:cs="Segoe UI"/>
          <w:shd w:val="clear" w:color="auto" w:fill="FFFFFF"/>
        </w:rPr>
      </w:pPr>
    </w:p>
    <w:p w:rsidR="00B043DC" w:rsidRDefault="00B043DC" w:rsidP="00B043DC">
      <w:pPr>
        <w:ind w:left="540"/>
      </w:pPr>
      <w:r>
        <w:rPr>
          <w:rFonts w:hint="eastAsia"/>
        </w:rPr>
        <w:t>案例分析</w:t>
      </w:r>
      <w:r>
        <w:rPr>
          <w:rFonts w:hint="eastAsia"/>
        </w:rPr>
        <w:t xml:space="preserve"> </w:t>
      </w:r>
      <w:r>
        <w:rPr>
          <w:rFonts w:hint="eastAsia"/>
        </w:rPr>
        <w:t>转移定价问题</w:t>
      </w:r>
    </w:p>
    <w:p w:rsidR="00B043DC" w:rsidRDefault="00B043DC" w:rsidP="00B043DC">
      <w:pPr>
        <w:ind w:left="540"/>
      </w:pPr>
    </w:p>
    <w:p w:rsidR="00B043DC" w:rsidRPr="00CB3DD1" w:rsidRDefault="00B043DC" w:rsidP="00B043DC">
      <w:pPr>
        <w:numPr>
          <w:ilvl w:val="0"/>
          <w:numId w:val="2"/>
        </w:numPr>
        <w:spacing w:afterLines="50" w:after="156"/>
        <w:ind w:left="748" w:hanging="748"/>
        <w:rPr>
          <w:b/>
          <w:bCs/>
        </w:rPr>
      </w:pPr>
      <w:r>
        <w:rPr>
          <w:rFonts w:hint="eastAsia"/>
          <w:b/>
          <w:bCs/>
        </w:rPr>
        <w:t>评价与控制所运用的资产</w:t>
      </w:r>
    </w:p>
    <w:p w:rsidR="00B043DC" w:rsidRDefault="00B043DC" w:rsidP="00B043DC">
      <w:pPr>
        <w:pStyle w:val="Default"/>
        <w:ind w:firstLine="420"/>
        <w:jc w:val="both"/>
        <w:rPr>
          <w:sz w:val="21"/>
          <w:szCs w:val="21"/>
        </w:rPr>
      </w:pPr>
      <w:r>
        <w:rPr>
          <w:rFonts w:hint="eastAsia"/>
          <w:sz w:val="21"/>
          <w:szCs w:val="21"/>
        </w:rPr>
        <w:t>在某些业务部门，重点如第</w:t>
      </w:r>
      <w:r>
        <w:rPr>
          <w:rFonts w:ascii="Times New Roman" w:cs="Times New Roman"/>
          <w:sz w:val="21"/>
          <w:szCs w:val="21"/>
        </w:rPr>
        <w:t>5</w:t>
      </w:r>
      <w:r>
        <w:rPr>
          <w:rFonts w:hint="eastAsia"/>
          <w:sz w:val="21"/>
          <w:szCs w:val="21"/>
        </w:rPr>
        <w:t>章中描述的是用收入和费用差异衡量的利润。在其他一些业务部门，利润同用于获得它的资本相比较。后者称为投资中心，并在本章讨论这种责任中心发生的管理问题。在现实世界中，公司并不使用投资中心这个名词，而用利润中心来指代第</w:t>
      </w:r>
      <w:r>
        <w:rPr>
          <w:sz w:val="21"/>
          <w:szCs w:val="21"/>
        </w:rPr>
        <w:t xml:space="preserve"> </w:t>
      </w:r>
      <w:r>
        <w:rPr>
          <w:rFonts w:ascii="Times New Roman" w:cs="Times New Roman"/>
          <w:sz w:val="21"/>
          <w:szCs w:val="21"/>
        </w:rPr>
        <w:t>5</w:t>
      </w:r>
      <w:r>
        <w:rPr>
          <w:rFonts w:hint="eastAsia"/>
          <w:sz w:val="21"/>
          <w:szCs w:val="21"/>
        </w:rPr>
        <w:t>章和本章讨论的责任中心。该投资中心是一种特殊类型利润中心，而不是另一种独立、平行类别的说法。单独处理投资中心的理由主要出于教学的考虑，也即，在利润中心所涉及的使用资本管理问题太多，需要一个独立章节来加以讨论。</w:t>
      </w:r>
    </w:p>
    <w:p w:rsidR="00B043DC" w:rsidRDefault="00B043DC" w:rsidP="00B043DC">
      <w:pPr>
        <w:pStyle w:val="Default"/>
        <w:ind w:firstLine="420"/>
        <w:jc w:val="both"/>
        <w:rPr>
          <w:rFonts w:ascii="Times New Roman" w:cs="Times New Roman"/>
          <w:sz w:val="14"/>
          <w:szCs w:val="14"/>
        </w:rPr>
      </w:pPr>
      <w:r>
        <w:rPr>
          <w:rFonts w:hint="eastAsia"/>
          <w:sz w:val="21"/>
          <w:szCs w:val="21"/>
        </w:rPr>
        <w:t>本章首先讨论投资中心会运用的每种主要类型的资产，这些资产总和是投资基础。而后将讨论和投资基础利润相关的两种方法：投资回报率</w:t>
      </w:r>
      <w:r>
        <w:rPr>
          <w:rFonts w:ascii="Times New Roman" w:cs="Times New Roman"/>
          <w:sz w:val="21"/>
          <w:szCs w:val="21"/>
        </w:rPr>
        <w:t>ROI</w:t>
      </w:r>
      <w:r>
        <w:rPr>
          <w:rFonts w:hint="eastAsia"/>
          <w:sz w:val="21"/>
          <w:szCs w:val="21"/>
        </w:rPr>
        <w:t>和递延收入或经济价值增量</w:t>
      </w:r>
      <w:r>
        <w:rPr>
          <w:rFonts w:ascii="Times New Roman" w:cs="Times New Roman"/>
          <w:sz w:val="21"/>
          <w:szCs w:val="21"/>
        </w:rPr>
        <w:t>(EVA)</w:t>
      </w:r>
      <w:r>
        <w:rPr>
          <w:rFonts w:hint="eastAsia"/>
          <w:sz w:val="21"/>
          <w:szCs w:val="21"/>
        </w:rPr>
        <w:t>。</w:t>
      </w:r>
    </w:p>
    <w:p w:rsidR="00B043DC" w:rsidRDefault="00B043DC" w:rsidP="00B043DC">
      <w:pPr>
        <w:rPr>
          <w:szCs w:val="21"/>
        </w:rPr>
      </w:pPr>
      <w:r>
        <w:rPr>
          <w:rFonts w:hint="eastAsia"/>
          <w:szCs w:val="21"/>
        </w:rPr>
        <w:t>还将讨论在经营管理中与两者相关的优势和限制。最后，讨论在评价一个投资中心经济价值时的一些问题。</w:t>
      </w:r>
    </w:p>
    <w:p w:rsidR="00B043DC" w:rsidRDefault="00B043DC" w:rsidP="00B043DC">
      <w:pPr>
        <w:numPr>
          <w:ilvl w:val="0"/>
          <w:numId w:val="9"/>
        </w:numPr>
      </w:pPr>
      <w:r>
        <w:rPr>
          <w:rFonts w:hint="eastAsia"/>
        </w:rPr>
        <w:t>分析架构</w:t>
      </w:r>
    </w:p>
    <w:p w:rsidR="00B043DC" w:rsidRDefault="00B043DC" w:rsidP="00B043DC">
      <w:pPr>
        <w:numPr>
          <w:ilvl w:val="0"/>
          <w:numId w:val="9"/>
        </w:numPr>
      </w:pPr>
      <w:r>
        <w:rPr>
          <w:rFonts w:hint="eastAsia"/>
        </w:rPr>
        <w:t>评价所运用的资产</w:t>
      </w:r>
    </w:p>
    <w:p w:rsidR="00B043DC" w:rsidRDefault="00B043DC" w:rsidP="00B043DC">
      <w:pPr>
        <w:numPr>
          <w:ilvl w:val="0"/>
          <w:numId w:val="9"/>
        </w:numPr>
      </w:pPr>
      <w:r>
        <w:rPr>
          <w:rFonts w:hint="eastAsia"/>
        </w:rPr>
        <w:t>经济增加值与投资报酬率</w:t>
      </w:r>
    </w:p>
    <w:p w:rsidR="00B043DC" w:rsidRDefault="00B043DC" w:rsidP="00B043DC">
      <w:pPr>
        <w:numPr>
          <w:ilvl w:val="0"/>
          <w:numId w:val="9"/>
        </w:numPr>
      </w:pPr>
      <w:r>
        <w:rPr>
          <w:rFonts w:hint="eastAsia"/>
        </w:rPr>
        <w:t>评价管理者徐考虑的其他因素</w:t>
      </w:r>
    </w:p>
    <w:p w:rsidR="002D1AB1" w:rsidRDefault="00B043DC" w:rsidP="002D1AB1">
      <w:pPr>
        <w:numPr>
          <w:ilvl w:val="0"/>
          <w:numId w:val="9"/>
        </w:numPr>
      </w:pPr>
      <w:r>
        <w:rPr>
          <w:rFonts w:hint="eastAsia"/>
        </w:rPr>
        <w:t>评估实体的经济业绩</w:t>
      </w:r>
    </w:p>
    <w:p w:rsidR="00B043DC" w:rsidRPr="00EB2532" w:rsidRDefault="002D1AB1" w:rsidP="00EB2532">
      <w:pPr>
        <w:ind w:leftChars="-1" w:left="-2"/>
        <w:rPr>
          <w:rStyle w:val="ad"/>
          <w:rFonts w:ascii="Segoe UI" w:hAnsi="Segoe UI" w:cs="Segoe UI"/>
          <w:b w:val="0"/>
          <w:shd w:val="clear" w:color="auto" w:fill="FFFFFF"/>
        </w:rPr>
      </w:pPr>
      <w:proofErr w:type="gramStart"/>
      <w:r w:rsidRPr="00EB2532">
        <w:rPr>
          <w:rStyle w:val="ad"/>
          <w:rFonts w:ascii="Segoe UI" w:hAnsi="Segoe UI" w:cs="Segoe UI"/>
          <w:shd w:val="clear" w:color="auto" w:fill="FFFFFF"/>
        </w:rPr>
        <w:t>思政元素</w:t>
      </w:r>
      <w:proofErr w:type="gramEnd"/>
      <w:r w:rsidRPr="00EB2532">
        <w:rPr>
          <w:rStyle w:val="ad"/>
          <w:rFonts w:ascii="Segoe UI" w:hAnsi="Segoe UI" w:cs="Segoe UI"/>
          <w:shd w:val="clear" w:color="auto" w:fill="FFFFFF"/>
        </w:rPr>
        <w:t>：</w:t>
      </w:r>
      <w:r w:rsidRPr="00EB2532">
        <w:rPr>
          <w:rStyle w:val="ad"/>
          <w:rFonts w:ascii="Segoe UI" w:hAnsi="Segoe UI" w:cs="Segoe UI"/>
          <w:b w:val="0"/>
          <w:shd w:val="clear" w:color="auto" w:fill="FFFFFF"/>
        </w:rPr>
        <w:t>结合</w:t>
      </w:r>
      <w:r w:rsidRPr="00EB2532">
        <w:rPr>
          <w:rStyle w:val="ad"/>
          <w:rFonts w:ascii="Segoe UI" w:hAnsi="Segoe UI" w:cs="Segoe UI"/>
          <w:b w:val="0"/>
          <w:shd w:val="clear" w:color="auto" w:fill="FFFFFF"/>
        </w:rPr>
        <w:t>"</w:t>
      </w:r>
      <w:r w:rsidRPr="00EB2532">
        <w:rPr>
          <w:rStyle w:val="ad"/>
          <w:rFonts w:ascii="Segoe UI" w:hAnsi="Segoe UI" w:cs="Segoe UI"/>
          <w:b w:val="0"/>
          <w:shd w:val="clear" w:color="auto" w:fill="FFFFFF"/>
        </w:rPr>
        <w:t>实体经济</w:t>
      </w:r>
      <w:r w:rsidRPr="00EB2532">
        <w:rPr>
          <w:rStyle w:val="ad"/>
          <w:rFonts w:ascii="Segoe UI" w:hAnsi="Segoe UI" w:cs="Segoe UI"/>
          <w:b w:val="0"/>
          <w:shd w:val="clear" w:color="auto" w:fill="FFFFFF"/>
        </w:rPr>
        <w:t>"</w:t>
      </w:r>
      <w:r w:rsidRPr="00EB2532">
        <w:rPr>
          <w:rStyle w:val="ad"/>
          <w:rFonts w:ascii="Segoe UI" w:hAnsi="Segoe UI" w:cs="Segoe UI"/>
          <w:b w:val="0"/>
          <w:shd w:val="clear" w:color="auto" w:fill="FFFFFF"/>
        </w:rPr>
        <w:t>与</w:t>
      </w:r>
      <w:r w:rsidRPr="00EB2532">
        <w:rPr>
          <w:rStyle w:val="ad"/>
          <w:rFonts w:ascii="Segoe UI" w:hAnsi="Segoe UI" w:cs="Segoe UI"/>
          <w:b w:val="0"/>
          <w:shd w:val="clear" w:color="auto" w:fill="FFFFFF"/>
        </w:rPr>
        <w:t>"</w:t>
      </w:r>
      <w:r w:rsidRPr="00EB2532">
        <w:rPr>
          <w:rStyle w:val="ad"/>
          <w:rFonts w:ascii="Segoe UI" w:hAnsi="Segoe UI" w:cs="Segoe UI"/>
          <w:b w:val="0"/>
          <w:shd w:val="clear" w:color="auto" w:fill="FFFFFF"/>
        </w:rPr>
        <w:t>金融服务实体经济</w:t>
      </w:r>
      <w:r w:rsidRPr="00EB2532">
        <w:rPr>
          <w:rStyle w:val="ad"/>
          <w:rFonts w:ascii="Segoe UI" w:hAnsi="Segoe UI" w:cs="Segoe UI"/>
          <w:b w:val="0"/>
          <w:shd w:val="clear" w:color="auto" w:fill="FFFFFF"/>
        </w:rPr>
        <w:t>"</w:t>
      </w:r>
      <w:r w:rsidRPr="00EB2532">
        <w:rPr>
          <w:rStyle w:val="ad"/>
          <w:rFonts w:ascii="Segoe UI" w:hAnsi="Segoe UI" w:cs="Segoe UI"/>
          <w:b w:val="0"/>
          <w:shd w:val="clear" w:color="auto" w:fill="FFFFFF"/>
        </w:rPr>
        <w:t>的国家战略导向，分析资产评价与控制对推动高质量发展的重要性。引导学生树立科学的资本观和价值创造观，认识到资产效率提升不仅关乎企业利益，也是国家资源优化配置的重要环节，培养学生服务国家经济建设的使命感。</w:t>
      </w:r>
    </w:p>
    <w:p w:rsidR="002D1AB1" w:rsidRDefault="002D1AB1" w:rsidP="002D1AB1">
      <w:pPr>
        <w:ind w:left="540"/>
      </w:pPr>
    </w:p>
    <w:p w:rsidR="00B043DC" w:rsidRPr="00CB3DD1" w:rsidRDefault="00B043DC" w:rsidP="00B043DC">
      <w:pPr>
        <w:numPr>
          <w:ilvl w:val="0"/>
          <w:numId w:val="2"/>
        </w:numPr>
        <w:spacing w:afterLines="50" w:after="156"/>
        <w:ind w:left="748" w:hanging="748"/>
        <w:rPr>
          <w:b/>
          <w:bCs/>
        </w:rPr>
      </w:pPr>
      <w:r>
        <w:rPr>
          <w:rFonts w:hint="eastAsia"/>
          <w:b/>
          <w:bCs/>
        </w:rPr>
        <w:t>战略计划</w:t>
      </w:r>
    </w:p>
    <w:p w:rsidR="00B043DC" w:rsidRDefault="00B043DC" w:rsidP="00B043DC">
      <w:pPr>
        <w:pStyle w:val="Default"/>
        <w:ind w:firstLine="420"/>
        <w:jc w:val="both"/>
        <w:rPr>
          <w:sz w:val="21"/>
          <w:szCs w:val="21"/>
        </w:rPr>
      </w:pPr>
      <w:r>
        <w:rPr>
          <w:rFonts w:hint="eastAsia"/>
          <w:sz w:val="21"/>
          <w:szCs w:val="21"/>
        </w:rPr>
        <w:t>这是讲述管理控制过程的五章中的第一章。本章所讲述的战略计划在整个过程中按顺序来讲是最先发生的。本章的第一部分介绍了战略计划的特征；第二部分介绍对一个提出的新项目的分析和作决策的技术；第三部分介绍一些技术，这些技术对分析正在进行中的项目是很有益的；最后一部分介绍战略计划过程中的几个步骤。</w:t>
      </w:r>
    </w:p>
    <w:p w:rsidR="00B043DC" w:rsidRDefault="00B043DC" w:rsidP="00B043DC">
      <w:pPr>
        <w:ind w:firstLineChars="200" w:firstLine="420"/>
        <w:rPr>
          <w:szCs w:val="21"/>
        </w:rPr>
      </w:pPr>
      <w:r>
        <w:rPr>
          <w:rFonts w:hint="eastAsia"/>
          <w:szCs w:val="21"/>
        </w:rPr>
        <w:lastRenderedPageBreak/>
        <w:t>以下讨论已经隐含着这样一个假定：组织的规模适中，而且是由总部和其他分支单位所组成的典型形式。在这样的一个组织中，总部和分部都要进行战略计划。如果组织较小，特别是如果它没有业务部门，则这一过程仅仅包括高级管理人员和一个计划班子。在一个非常小的组织中，这一过程可能仅仅包括主管经理，也许有主计长的协助。</w:t>
      </w:r>
    </w:p>
    <w:p w:rsidR="00B043DC" w:rsidRDefault="00B043DC" w:rsidP="00B043DC"/>
    <w:p w:rsidR="00B043DC" w:rsidRDefault="00B043DC" w:rsidP="00B043DC">
      <w:pPr>
        <w:numPr>
          <w:ilvl w:val="0"/>
          <w:numId w:val="10"/>
        </w:numPr>
      </w:pPr>
      <w:r>
        <w:rPr>
          <w:rFonts w:hint="eastAsia"/>
        </w:rPr>
        <w:t>战略计划的性质</w:t>
      </w:r>
    </w:p>
    <w:p w:rsidR="00B043DC" w:rsidRDefault="00B043DC" w:rsidP="00B043DC">
      <w:pPr>
        <w:numPr>
          <w:ilvl w:val="0"/>
          <w:numId w:val="10"/>
        </w:numPr>
      </w:pPr>
      <w:r>
        <w:rPr>
          <w:rFonts w:hint="eastAsia"/>
        </w:rPr>
        <w:t>分析新计划项目建设</w:t>
      </w:r>
    </w:p>
    <w:p w:rsidR="00B043DC" w:rsidRDefault="00B043DC" w:rsidP="00B043DC">
      <w:pPr>
        <w:numPr>
          <w:ilvl w:val="0"/>
          <w:numId w:val="10"/>
        </w:numPr>
      </w:pPr>
      <w:r>
        <w:rPr>
          <w:rFonts w:hint="eastAsia"/>
        </w:rPr>
        <w:t>分析持续计划项目</w:t>
      </w:r>
    </w:p>
    <w:p w:rsidR="00B043DC" w:rsidRDefault="00B043DC" w:rsidP="00B043DC">
      <w:pPr>
        <w:numPr>
          <w:ilvl w:val="0"/>
          <w:numId w:val="10"/>
        </w:numPr>
      </w:pPr>
      <w:r>
        <w:rPr>
          <w:rFonts w:hint="eastAsia"/>
        </w:rPr>
        <w:t>战略计划过程</w:t>
      </w:r>
    </w:p>
    <w:p w:rsidR="002D1AB1" w:rsidRPr="00EB2532" w:rsidRDefault="002D1AB1" w:rsidP="00EB2532">
      <w:pPr>
        <w:ind w:leftChars="-1" w:left="-2"/>
        <w:rPr>
          <w:rStyle w:val="ad"/>
          <w:b w:val="0"/>
        </w:rPr>
      </w:pPr>
      <w:proofErr w:type="gramStart"/>
      <w:r w:rsidRPr="002D1AB1">
        <w:rPr>
          <w:rStyle w:val="ad"/>
          <w:rFonts w:ascii="Segoe UI" w:hAnsi="Segoe UI" w:cs="Segoe UI"/>
          <w:shd w:val="clear" w:color="auto" w:fill="FFFFFF"/>
        </w:rPr>
        <w:t>思政元素</w:t>
      </w:r>
      <w:proofErr w:type="gramEnd"/>
      <w:r w:rsidRPr="00EB2532">
        <w:rPr>
          <w:rStyle w:val="ad"/>
        </w:rPr>
        <w:t>：</w:t>
      </w:r>
      <w:r w:rsidRPr="00EB2532">
        <w:rPr>
          <w:rStyle w:val="ad"/>
          <w:b w:val="0"/>
        </w:rPr>
        <w:t>结合中国特色社会主义新时代的发展规划体系，分析</w:t>
      </w:r>
      <w:r w:rsidRPr="00EB2532">
        <w:rPr>
          <w:rStyle w:val="ad"/>
          <w:b w:val="0"/>
        </w:rPr>
        <w:t>"</w:t>
      </w:r>
      <w:r w:rsidRPr="00EB2532">
        <w:rPr>
          <w:rStyle w:val="ad"/>
          <w:b w:val="0"/>
        </w:rPr>
        <w:t>五年规划</w:t>
      </w:r>
      <w:r w:rsidRPr="00EB2532">
        <w:rPr>
          <w:rStyle w:val="ad"/>
          <w:b w:val="0"/>
        </w:rPr>
        <w:t>"</w:t>
      </w:r>
      <w:r w:rsidRPr="00EB2532">
        <w:rPr>
          <w:rStyle w:val="ad"/>
          <w:b w:val="0"/>
        </w:rPr>
        <w:t>与企业战略计划的联动机制。通过对国家战略性新兴产业布局与企业战略选择的分析，引导学生树立全局观念和系统思维，增强战略规划能力，培养学生将企业发展融入国家发展大局的责任意识。</w:t>
      </w:r>
    </w:p>
    <w:p w:rsidR="00B043DC" w:rsidRDefault="00B043DC" w:rsidP="00B043DC">
      <w:pPr>
        <w:ind w:left="540"/>
      </w:pPr>
    </w:p>
    <w:p w:rsidR="00B043DC" w:rsidRDefault="00B043DC" w:rsidP="00B043DC">
      <w:pPr>
        <w:ind w:left="540"/>
      </w:pPr>
      <w:r>
        <w:rPr>
          <w:rFonts w:hint="eastAsia"/>
        </w:rPr>
        <w:t>案例讨论：联合办公用品公司</w:t>
      </w:r>
    </w:p>
    <w:p w:rsidR="00B043DC" w:rsidRDefault="00B043DC" w:rsidP="00B043DC">
      <w:pPr>
        <w:ind w:left="540"/>
      </w:pPr>
    </w:p>
    <w:p w:rsidR="008907DE" w:rsidRPr="00EB2532" w:rsidRDefault="008907DE">
      <w:pPr>
        <w:rPr>
          <w:szCs w:val="21"/>
        </w:rPr>
      </w:pPr>
    </w:p>
    <w:p w:rsidR="008907DE" w:rsidRDefault="008907DE">
      <w:pPr>
        <w:tabs>
          <w:tab w:val="left" w:pos="3610"/>
        </w:tabs>
        <w:jc w:val="center"/>
        <w:rPr>
          <w:rFonts w:ascii="宋体" w:hAnsi="宋体"/>
          <w:b/>
        </w:rPr>
      </w:pPr>
    </w:p>
    <w:sectPr w:rsidR="008907DE">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99" w:rsidRDefault="00C06999">
      <w:r>
        <w:separator/>
      </w:r>
    </w:p>
  </w:endnote>
  <w:endnote w:type="continuationSeparator" w:id="0">
    <w:p w:rsidR="00C06999" w:rsidRDefault="00C0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 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DE" w:rsidRDefault="00047B17">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907DE" w:rsidRDefault="008907D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DE" w:rsidRDefault="00047B17">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B2532">
      <w:rPr>
        <w:rStyle w:val="a9"/>
        <w:noProof/>
      </w:rPr>
      <w:t>7</w:t>
    </w:r>
    <w:r>
      <w:rPr>
        <w:rStyle w:val="a9"/>
      </w:rPr>
      <w:fldChar w:fldCharType="end"/>
    </w:r>
  </w:p>
  <w:p w:rsidR="008907DE" w:rsidRDefault="008907DE">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99" w:rsidRDefault="00C06999">
      <w:r>
        <w:separator/>
      </w:r>
    </w:p>
  </w:footnote>
  <w:footnote w:type="continuationSeparator" w:id="0">
    <w:p w:rsidR="00C06999" w:rsidRDefault="00C069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33942"/>
    <w:multiLevelType w:val="hybridMultilevel"/>
    <w:tmpl w:val="EDFA2DCA"/>
    <w:lvl w:ilvl="0" w:tplc="19506B3A">
      <w:start w:val="1"/>
      <w:numFmt w:val="japaneseCounting"/>
      <w:lvlText w:val="第%1节"/>
      <w:lvlJc w:val="left"/>
      <w:pPr>
        <w:tabs>
          <w:tab w:val="num" w:pos="1275"/>
        </w:tabs>
        <w:ind w:left="1275" w:hanging="735"/>
      </w:pPr>
      <w:rPr>
        <w:rFonts w:hint="default"/>
        <w:lang w:val="en-US"/>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 w15:restartNumberingAfterBreak="0">
    <w:nsid w:val="15F57D3F"/>
    <w:multiLevelType w:val="hybridMultilevel"/>
    <w:tmpl w:val="731803B4"/>
    <w:lvl w:ilvl="0" w:tplc="3DDA4E0C">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 w15:restartNumberingAfterBreak="0">
    <w:nsid w:val="270178AC"/>
    <w:multiLevelType w:val="hybridMultilevel"/>
    <w:tmpl w:val="AEF0A8F0"/>
    <w:lvl w:ilvl="0" w:tplc="CAEC4FCC">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 w15:restartNumberingAfterBreak="0">
    <w:nsid w:val="404600A0"/>
    <w:multiLevelType w:val="hybridMultilevel"/>
    <w:tmpl w:val="38CAF2C2"/>
    <w:lvl w:ilvl="0" w:tplc="69E29854">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15:restartNumberingAfterBreak="0">
    <w:nsid w:val="441E661D"/>
    <w:multiLevelType w:val="hybridMultilevel"/>
    <w:tmpl w:val="56A0D3E0"/>
    <w:lvl w:ilvl="0" w:tplc="223A86F2">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15:restartNumberingAfterBreak="0">
    <w:nsid w:val="4670751A"/>
    <w:multiLevelType w:val="hybridMultilevel"/>
    <w:tmpl w:val="31DE5D70"/>
    <w:lvl w:ilvl="0" w:tplc="2690B6BE">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4A567C3B"/>
    <w:multiLevelType w:val="hybridMultilevel"/>
    <w:tmpl w:val="96E2C426"/>
    <w:lvl w:ilvl="0" w:tplc="9DD43FBC">
      <w:start w:val="1"/>
      <w:numFmt w:val="japaneseCounting"/>
      <w:lvlText w:val="第%1节"/>
      <w:lvlJc w:val="left"/>
      <w:pPr>
        <w:tabs>
          <w:tab w:val="num" w:pos="1275"/>
        </w:tabs>
        <w:ind w:left="1275" w:hanging="735"/>
      </w:pPr>
      <w:rPr>
        <w:rFonts w:hint="default"/>
        <w:lang w:val="en-US"/>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54481795"/>
    <w:multiLevelType w:val="hybridMultilevel"/>
    <w:tmpl w:val="572EF292"/>
    <w:lvl w:ilvl="0" w:tplc="2A9E796A">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15:restartNumberingAfterBreak="0">
    <w:nsid w:val="5D10088B"/>
    <w:multiLevelType w:val="hybridMultilevel"/>
    <w:tmpl w:val="EA2E6CA8"/>
    <w:lvl w:ilvl="0" w:tplc="9572BA06">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15:restartNumberingAfterBreak="0">
    <w:nsid w:val="69DB552C"/>
    <w:multiLevelType w:val="multilevel"/>
    <w:tmpl w:val="69DB552C"/>
    <w:lvl w:ilvl="0">
      <w:start w:val="1"/>
      <w:numFmt w:val="japaneseCounting"/>
      <w:lvlText w:val="第%1章"/>
      <w:lvlJc w:val="left"/>
      <w:pPr>
        <w:ind w:left="795" w:hanging="7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D911E04"/>
    <w:multiLevelType w:val="hybridMultilevel"/>
    <w:tmpl w:val="5EF0A8F6"/>
    <w:lvl w:ilvl="0" w:tplc="666A6912">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6E8C3CFD"/>
    <w:multiLevelType w:val="hybridMultilevel"/>
    <w:tmpl w:val="0F0EF98C"/>
    <w:lvl w:ilvl="0" w:tplc="6DC8EAC4">
      <w:start w:val="1"/>
      <w:numFmt w:val="japaneseCounting"/>
      <w:lvlText w:val="第%1章"/>
      <w:lvlJc w:val="left"/>
      <w:pPr>
        <w:tabs>
          <w:tab w:val="num" w:pos="750"/>
        </w:tabs>
        <w:ind w:left="750" w:hanging="750"/>
      </w:pPr>
      <w:rPr>
        <w:rFonts w:hint="default"/>
      </w:rPr>
    </w:lvl>
    <w:lvl w:ilvl="1" w:tplc="3664FD60">
      <w:start w:val="1"/>
      <w:numFmt w:val="japaneseCounting"/>
      <w:lvlText w:val="第%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11"/>
  </w:num>
  <w:num w:numId="3">
    <w:abstractNumId w:val="7"/>
  </w:num>
  <w:num w:numId="4">
    <w:abstractNumId w:val="6"/>
  </w:num>
  <w:num w:numId="5">
    <w:abstractNumId w:val="1"/>
  </w:num>
  <w:num w:numId="6">
    <w:abstractNumId w:val="2"/>
  </w:num>
  <w:num w:numId="7">
    <w:abstractNumId w:val="3"/>
  </w:num>
  <w:num w:numId="8">
    <w:abstractNumId w:val="10"/>
  </w:num>
  <w:num w:numId="9">
    <w:abstractNumId w:val="5"/>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30110"/>
    <w:rsid w:val="00047B17"/>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027D7"/>
    <w:rsid w:val="00235E7C"/>
    <w:rsid w:val="00246AD8"/>
    <w:rsid w:val="002472C5"/>
    <w:rsid w:val="002A125A"/>
    <w:rsid w:val="002A36F8"/>
    <w:rsid w:val="002A4A15"/>
    <w:rsid w:val="002C1EDB"/>
    <w:rsid w:val="002C3603"/>
    <w:rsid w:val="002C7D1B"/>
    <w:rsid w:val="002D1AB1"/>
    <w:rsid w:val="002E1FE7"/>
    <w:rsid w:val="002F4283"/>
    <w:rsid w:val="00311521"/>
    <w:rsid w:val="00321178"/>
    <w:rsid w:val="003347B9"/>
    <w:rsid w:val="003435C8"/>
    <w:rsid w:val="00343CAD"/>
    <w:rsid w:val="003901DE"/>
    <w:rsid w:val="003E20A7"/>
    <w:rsid w:val="003F4D89"/>
    <w:rsid w:val="00405570"/>
    <w:rsid w:val="004125FE"/>
    <w:rsid w:val="004200F5"/>
    <w:rsid w:val="00431850"/>
    <w:rsid w:val="00435F04"/>
    <w:rsid w:val="00453388"/>
    <w:rsid w:val="00473148"/>
    <w:rsid w:val="004A131C"/>
    <w:rsid w:val="004D2517"/>
    <w:rsid w:val="00504A84"/>
    <w:rsid w:val="00517DB4"/>
    <w:rsid w:val="005545FA"/>
    <w:rsid w:val="00560EA3"/>
    <w:rsid w:val="00580FA3"/>
    <w:rsid w:val="005B691D"/>
    <w:rsid w:val="005C2FE5"/>
    <w:rsid w:val="005D0D0E"/>
    <w:rsid w:val="005E4F07"/>
    <w:rsid w:val="00600422"/>
    <w:rsid w:val="0060778E"/>
    <w:rsid w:val="00613340"/>
    <w:rsid w:val="0064161E"/>
    <w:rsid w:val="00662177"/>
    <w:rsid w:val="00691A33"/>
    <w:rsid w:val="00693FAB"/>
    <w:rsid w:val="00697B82"/>
    <w:rsid w:val="006A5B21"/>
    <w:rsid w:val="006B3CA9"/>
    <w:rsid w:val="006B5B50"/>
    <w:rsid w:val="007044B0"/>
    <w:rsid w:val="007275D6"/>
    <w:rsid w:val="0073727C"/>
    <w:rsid w:val="00746E38"/>
    <w:rsid w:val="00770B95"/>
    <w:rsid w:val="00774200"/>
    <w:rsid w:val="00783F20"/>
    <w:rsid w:val="00793D9A"/>
    <w:rsid w:val="007A6B98"/>
    <w:rsid w:val="007B4681"/>
    <w:rsid w:val="007C293B"/>
    <w:rsid w:val="007D4A0D"/>
    <w:rsid w:val="00817F80"/>
    <w:rsid w:val="00836C86"/>
    <w:rsid w:val="00855619"/>
    <w:rsid w:val="008907DE"/>
    <w:rsid w:val="008D31BE"/>
    <w:rsid w:val="008F027C"/>
    <w:rsid w:val="008F3384"/>
    <w:rsid w:val="009035E7"/>
    <w:rsid w:val="009163DB"/>
    <w:rsid w:val="00925BCD"/>
    <w:rsid w:val="0092675D"/>
    <w:rsid w:val="00933957"/>
    <w:rsid w:val="00934E46"/>
    <w:rsid w:val="00957EC2"/>
    <w:rsid w:val="00971901"/>
    <w:rsid w:val="009A0B1A"/>
    <w:rsid w:val="009B63E9"/>
    <w:rsid w:val="009D3810"/>
    <w:rsid w:val="009E7139"/>
    <w:rsid w:val="009F49C5"/>
    <w:rsid w:val="009F7252"/>
    <w:rsid w:val="00A06502"/>
    <w:rsid w:val="00A07EBF"/>
    <w:rsid w:val="00A22677"/>
    <w:rsid w:val="00A22C20"/>
    <w:rsid w:val="00A2512F"/>
    <w:rsid w:val="00A2657E"/>
    <w:rsid w:val="00A43AEF"/>
    <w:rsid w:val="00A455C2"/>
    <w:rsid w:val="00A621E7"/>
    <w:rsid w:val="00A840FD"/>
    <w:rsid w:val="00A9565E"/>
    <w:rsid w:val="00AA56D2"/>
    <w:rsid w:val="00AE2F2E"/>
    <w:rsid w:val="00B043DC"/>
    <w:rsid w:val="00B10A4C"/>
    <w:rsid w:val="00B36998"/>
    <w:rsid w:val="00BD3287"/>
    <w:rsid w:val="00C002DF"/>
    <w:rsid w:val="00C06999"/>
    <w:rsid w:val="00C268EC"/>
    <w:rsid w:val="00C716F9"/>
    <w:rsid w:val="00C778F5"/>
    <w:rsid w:val="00CA09BF"/>
    <w:rsid w:val="00CA0D91"/>
    <w:rsid w:val="00CB25C0"/>
    <w:rsid w:val="00D01D59"/>
    <w:rsid w:val="00D5482C"/>
    <w:rsid w:val="00D80FB2"/>
    <w:rsid w:val="00DA0EB8"/>
    <w:rsid w:val="00DF4229"/>
    <w:rsid w:val="00E06703"/>
    <w:rsid w:val="00E76D99"/>
    <w:rsid w:val="00E9780C"/>
    <w:rsid w:val="00EB2532"/>
    <w:rsid w:val="00EB4333"/>
    <w:rsid w:val="00EF5066"/>
    <w:rsid w:val="00F10ABD"/>
    <w:rsid w:val="00F25142"/>
    <w:rsid w:val="00F72123"/>
    <w:rsid w:val="00FA4103"/>
    <w:rsid w:val="00FA590F"/>
    <w:rsid w:val="00FC5C6B"/>
    <w:rsid w:val="29677E1E"/>
    <w:rsid w:val="686C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37A0A"/>
  <w15:docId w15:val="{6C68B847-A581-432A-ACCC-7C2AD744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qFormat/>
    <w:rPr>
      <w:rFonts w:ascii="宋体" w:hAnsi="Courier New"/>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rPr>
      <w:color w:val="0000FF"/>
      <w:u w:val="single"/>
    </w:rPr>
  </w:style>
  <w:style w:type="character" w:customStyle="1" w:styleId="a7">
    <w:name w:val="页眉 字符"/>
    <w:link w:val="a6"/>
    <w:rPr>
      <w:kern w:val="2"/>
      <w:sz w:val="18"/>
      <w:szCs w:val="18"/>
    </w:rPr>
  </w:style>
  <w:style w:type="paragraph" w:customStyle="1" w:styleId="Style18">
    <w:name w:val="_Style 18"/>
    <w:basedOn w:val="a"/>
    <w:next w:val="a3"/>
    <w:pPr>
      <w:ind w:firstLine="420"/>
    </w:pPr>
    <w:rPr>
      <w:szCs w:val="20"/>
    </w:rPr>
  </w:style>
  <w:style w:type="paragraph" w:customStyle="1" w:styleId="Style24">
    <w:name w:val="_Style 24"/>
    <w:basedOn w:val="a"/>
    <w:next w:val="ab"/>
    <w:uiPriority w:val="34"/>
    <w:qFormat/>
    <w:pPr>
      <w:ind w:firstLineChars="200" w:firstLine="420"/>
    </w:pPr>
    <w:rPr>
      <w:rFonts w:ascii="Calibri" w:hAnsi="Calibri"/>
      <w:szCs w:val="22"/>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qFormat/>
    <w:rPr>
      <w:color w:val="808080"/>
    </w:rPr>
  </w:style>
  <w:style w:type="paragraph" w:customStyle="1" w:styleId="Default">
    <w:name w:val="Default"/>
    <w:rsid w:val="00B043DC"/>
    <w:pPr>
      <w:widowControl w:val="0"/>
      <w:autoSpaceDE w:val="0"/>
      <w:autoSpaceDN w:val="0"/>
      <w:adjustRightInd w:val="0"/>
    </w:pPr>
    <w:rPr>
      <w:rFonts w:ascii="宋体" w:cs="宋体"/>
      <w:color w:val="000000"/>
      <w:sz w:val="24"/>
      <w:szCs w:val="24"/>
    </w:rPr>
  </w:style>
  <w:style w:type="character" w:styleId="ad">
    <w:name w:val="Strong"/>
    <w:basedOn w:val="a0"/>
    <w:uiPriority w:val="22"/>
    <w:qFormat/>
    <w:rsid w:val="002D1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70920">
      <w:bodyDiv w:val="1"/>
      <w:marLeft w:val="0"/>
      <w:marRight w:val="0"/>
      <w:marTop w:val="0"/>
      <w:marBottom w:val="0"/>
      <w:divBdr>
        <w:top w:val="none" w:sz="0" w:space="0" w:color="auto"/>
        <w:left w:val="none" w:sz="0" w:space="0" w:color="auto"/>
        <w:bottom w:val="none" w:sz="0" w:space="0" w:color="auto"/>
        <w:right w:val="none" w:sz="0" w:space="0" w:color="auto"/>
      </w:divBdr>
    </w:div>
    <w:div w:id="180172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ui@mail.shuf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1017</Words>
  <Characters>5800</Characters>
  <Application>Microsoft Office Word</Application>
  <DocSecurity>0</DocSecurity>
  <Lines>48</Lines>
  <Paragraphs>13</Paragraphs>
  <ScaleCrop>false</ScaleCrop>
  <Company>小熔工作室</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MH</cp:lastModifiedBy>
  <cp:revision>8</cp:revision>
  <cp:lastPrinted>2007-03-05T05:03:00Z</cp:lastPrinted>
  <dcterms:created xsi:type="dcterms:W3CDTF">2025-03-26T12:21:00Z</dcterms:created>
  <dcterms:modified xsi:type="dcterms:W3CDTF">2025-07-07T02:47:00Z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