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5145" w:rsidRDefault="002B5145" w:rsidP="002B5145">
      <w:pPr>
        <w:jc w:val="center"/>
        <w:rPr>
          <w:rFonts w:ascii="宋体" w:hAnsi="宋体"/>
          <w:b/>
          <w:bCs/>
          <w:sz w:val="28"/>
        </w:rPr>
      </w:pPr>
      <w:r>
        <w:rPr>
          <w:rFonts w:ascii="宋体" w:hAnsi="宋体" w:hint="eastAsia"/>
          <w:b/>
          <w:bCs/>
          <w:sz w:val="28"/>
        </w:rPr>
        <w:t>教学案例：从美国共同基金丑闻看基金治理安排</w:t>
      </w:r>
    </w:p>
    <w:p w:rsidR="002B5145" w:rsidRDefault="002B5145" w:rsidP="002B5145">
      <w:pPr>
        <w:jc w:val="center"/>
        <w:rPr>
          <w:rFonts w:ascii="宋体" w:hAnsi="宋体" w:hint="eastAsia"/>
        </w:rPr>
      </w:pPr>
      <w:r>
        <w:rPr>
          <w:rFonts w:ascii="宋体" w:hAnsi="宋体" w:hint="eastAsia"/>
        </w:rPr>
        <w:t xml:space="preserve">易方达基金管理有限公司   </w:t>
      </w:r>
      <w:proofErr w:type="gramStart"/>
      <w:r>
        <w:rPr>
          <w:rFonts w:ascii="宋体" w:hAnsi="宋体" w:hint="eastAsia"/>
        </w:rPr>
        <w:t>叶俊英</w:t>
      </w:r>
      <w:proofErr w:type="gramEnd"/>
    </w:p>
    <w:p w:rsidR="002B5145" w:rsidRDefault="002B5145" w:rsidP="002B5145">
      <w:pPr>
        <w:rPr>
          <w:rFonts w:ascii="宋体" w:hAnsi="宋体" w:hint="eastAsia"/>
        </w:rPr>
      </w:pPr>
      <w:r>
        <w:rPr>
          <w:rFonts w:ascii="宋体" w:hAnsi="宋体" w:hint="eastAsia"/>
        </w:rPr>
        <w:t xml:space="preserve">    内容提要: 经过百余年的发展,美国基金行业已发展成为与商业银行匹敌的金融中介,但是美国共同基金业近年仍暴露出丑闻。本位比较全面地介绍了美国基金业违规行为的表现形式，以及相关的执法机构对违规行为的处罚以及完善基金治理的措施，特别就这次违规事件探讨了共同基金治理结构安排的有效性，并从理论和实践论证了外部治理在基金治理中的重要性，对我国正在蓬勃发展的基金业进行了前瞻性的思考。</w:t>
      </w:r>
    </w:p>
    <w:p w:rsidR="002B5145" w:rsidRDefault="002B5145" w:rsidP="002B5145">
      <w:pPr>
        <w:rPr>
          <w:rFonts w:ascii="宋体" w:hAnsi="宋体" w:hint="eastAsia"/>
        </w:rPr>
      </w:pPr>
      <w:r>
        <w:rPr>
          <w:rFonts w:ascii="宋体" w:hAnsi="宋体" w:hint="eastAsia"/>
        </w:rPr>
        <w:t xml:space="preserve">    关键词:美国基金业;基金治理;基金丑闻;基金监管</w:t>
      </w:r>
    </w:p>
    <w:p w:rsidR="002B5145" w:rsidRDefault="002B5145" w:rsidP="002B5145">
      <w:pPr>
        <w:rPr>
          <w:rFonts w:ascii="宋体" w:hAnsi="宋体" w:hint="eastAsia"/>
        </w:rPr>
      </w:pPr>
    </w:p>
    <w:p w:rsidR="002B5145" w:rsidRDefault="002B5145" w:rsidP="002B5145">
      <w:pPr>
        <w:ind w:firstLineChars="200" w:firstLine="420"/>
        <w:rPr>
          <w:rFonts w:ascii="宋体" w:hAnsi="宋体" w:hint="eastAsia"/>
          <w:szCs w:val="21"/>
        </w:rPr>
      </w:pPr>
      <w:r>
        <w:rPr>
          <w:rFonts w:ascii="宋体" w:hAnsi="宋体" w:hint="eastAsia"/>
          <w:szCs w:val="21"/>
        </w:rPr>
        <w:t>以盘后交易和择时交易为主要特征的美国共同基金丑闻在美国乃至全球金融界引起强烈反响。</w:t>
      </w:r>
      <w:r>
        <w:rPr>
          <w:rFonts w:ascii="宋体" w:hAnsi="宋体" w:hint="eastAsia"/>
        </w:rPr>
        <w:t>继对美国的上市公司和证券公司进行调查处罚之后，纽约州总检察长埃利奥特•斯皮策（Eliot Spitzer）2003年又将矛头对准美国共同基金业。以2003年9月</w:t>
      </w:r>
      <w:proofErr w:type="gramStart"/>
      <w:r>
        <w:rPr>
          <w:rFonts w:ascii="宋体" w:hAnsi="宋体" w:hint="eastAsia"/>
        </w:rPr>
        <w:t>斯皮策起诉</w:t>
      </w:r>
      <w:proofErr w:type="gramEnd"/>
      <w:r>
        <w:rPr>
          <w:rFonts w:ascii="宋体" w:hAnsi="宋体" w:hint="eastAsia"/>
          <w:szCs w:val="21"/>
        </w:rPr>
        <w:t>金丝雀资本合伙公司（</w:t>
      </w:r>
      <w:r>
        <w:rPr>
          <w:rFonts w:ascii="宋体" w:hAnsi="宋体" w:hint="eastAsia"/>
        </w:rPr>
        <w:t>Canary  Capital Partners, LLC）</w:t>
      </w:r>
      <w:r>
        <w:rPr>
          <w:rFonts w:ascii="宋体" w:hAnsi="宋体" w:hint="eastAsia"/>
          <w:szCs w:val="21"/>
        </w:rPr>
        <w:t>、金丝雀投资管理公司（</w:t>
      </w:r>
      <w:r>
        <w:rPr>
          <w:rFonts w:ascii="宋体" w:hAnsi="宋体" w:hint="eastAsia"/>
        </w:rPr>
        <w:t>Canary investment Management, LLC）</w:t>
      </w:r>
      <w:r>
        <w:rPr>
          <w:rFonts w:ascii="宋体" w:hAnsi="宋体" w:hint="eastAsia"/>
          <w:szCs w:val="21"/>
        </w:rPr>
        <w:t>、金丝雀资本合伙有限责任公司</w:t>
      </w:r>
      <w:r>
        <w:rPr>
          <w:rFonts w:ascii="宋体" w:hAnsi="宋体" w:hint="eastAsia"/>
        </w:rPr>
        <w:t>Canary Capital  Partners ,LTD</w:t>
      </w:r>
      <w:r>
        <w:rPr>
          <w:rFonts w:ascii="宋体" w:hAnsi="宋体" w:hint="eastAsia"/>
          <w:szCs w:val="21"/>
        </w:rPr>
        <w:t>和爱德华</w:t>
      </w:r>
      <w:r>
        <w:rPr>
          <w:rFonts w:ascii="宋体" w:hAnsi="宋体" w:hint="eastAsia"/>
        </w:rPr>
        <w:t>•</w:t>
      </w:r>
      <w:r>
        <w:rPr>
          <w:rFonts w:ascii="宋体" w:hAnsi="宋体" w:hint="eastAsia"/>
          <w:szCs w:val="21"/>
        </w:rPr>
        <w:t>斯</w:t>
      </w:r>
      <w:proofErr w:type="gramStart"/>
      <w:r>
        <w:rPr>
          <w:rFonts w:ascii="宋体" w:hAnsi="宋体" w:hint="eastAsia"/>
          <w:szCs w:val="21"/>
        </w:rPr>
        <w:t>特</w:t>
      </w:r>
      <w:proofErr w:type="gramEnd"/>
      <w:r>
        <w:rPr>
          <w:rFonts w:ascii="宋体" w:hAnsi="宋体" w:hint="eastAsia"/>
          <w:szCs w:val="21"/>
        </w:rPr>
        <w:t>恩（Edward J. Stern）为开端，有关州检察院、美国证券交易委员会（SEC）、美国证券交易商协会（NASD）等相关机构陆续对违规的共同基金的投资管理人以及有关的中介机构和所涉个人采取法律行动。美国的立法、司法、行政机构及证券与共同基金业的自律</w:t>
      </w:r>
      <w:proofErr w:type="gramStart"/>
      <w:r>
        <w:rPr>
          <w:rFonts w:ascii="宋体" w:hAnsi="宋体" w:hint="eastAsia"/>
          <w:szCs w:val="21"/>
        </w:rPr>
        <w:t>组织业</w:t>
      </w:r>
      <w:proofErr w:type="gramEnd"/>
      <w:r>
        <w:rPr>
          <w:rFonts w:ascii="宋体" w:hAnsi="宋体" w:hint="eastAsia"/>
          <w:szCs w:val="21"/>
        </w:rPr>
        <w:t>从各自的角度检讨共同基金制度设计的有效性，提出完善基金治理的措施。对违法行为的调查和处理虽未完全结束，相关的立法修改也未完结，但从违规事件本身以及对其处理的过程，我们可以分析基金治理制度安排的有效性，为快速发展的年轻的中国证券投资基金业提供有益的启示。</w:t>
      </w:r>
    </w:p>
    <w:p w:rsidR="002B5145" w:rsidRDefault="002B5145" w:rsidP="002B5145">
      <w:pPr>
        <w:rPr>
          <w:rFonts w:ascii="宋体" w:hAnsi="宋体" w:hint="eastAsia"/>
          <w:szCs w:val="21"/>
        </w:rPr>
      </w:pPr>
    </w:p>
    <w:p w:rsidR="002B5145" w:rsidRDefault="002B5145" w:rsidP="002B5145">
      <w:pPr>
        <w:jc w:val="center"/>
        <w:rPr>
          <w:rFonts w:ascii="宋体" w:hAnsi="宋体" w:hint="eastAsia"/>
          <w:b/>
          <w:bCs/>
        </w:rPr>
      </w:pPr>
      <w:r>
        <w:rPr>
          <w:rFonts w:ascii="宋体" w:hAnsi="宋体" w:hint="eastAsia"/>
          <w:b/>
          <w:bCs/>
        </w:rPr>
        <w:t>违规行为的主要做法</w:t>
      </w:r>
    </w:p>
    <w:p w:rsidR="002B5145" w:rsidRDefault="002B5145" w:rsidP="002B5145">
      <w:pPr>
        <w:rPr>
          <w:rFonts w:ascii="宋体" w:hAnsi="宋体" w:hint="eastAsia"/>
        </w:rPr>
      </w:pPr>
    </w:p>
    <w:p w:rsidR="002B5145" w:rsidRDefault="002B5145" w:rsidP="002B5145">
      <w:pPr>
        <w:ind w:firstLineChars="200" w:firstLine="420"/>
        <w:rPr>
          <w:rFonts w:ascii="宋体" w:hAnsi="宋体" w:hint="eastAsia"/>
        </w:rPr>
      </w:pPr>
      <w:r>
        <w:rPr>
          <w:rFonts w:ascii="宋体" w:hAnsi="宋体" w:hint="eastAsia"/>
        </w:rPr>
        <w:t>美国共同基金违规行为主要涉及盘后交易和择时交易两种做法。盘后交易（也称延迟交易，late trading）是指在法定时</w:t>
      </w:r>
      <w:proofErr w:type="gramStart"/>
      <w:r>
        <w:rPr>
          <w:rFonts w:ascii="宋体" w:hAnsi="宋体" w:hint="eastAsia"/>
        </w:rPr>
        <w:t>间之后</w:t>
      </w:r>
      <w:proofErr w:type="gramEnd"/>
      <w:r>
        <w:rPr>
          <w:rFonts w:ascii="宋体" w:hAnsi="宋体" w:hint="eastAsia"/>
        </w:rPr>
        <w:t>以已知价进行共同基金的申购、赎回或转换的行为。共同基金当天的价格（即基金单位净值，英语简称NAV）一般以美国东部时间下午4：00为准，因为此时间为纽约证券交易所收市时间。买卖或转换基金的指令应在当天下午4：00或之前发出。4：00之后发出的指令则应按第二天的价格计算。这就是“未知价法” （Forward Pricing）规则，它于1968年成为法律规定。</w:t>
      </w:r>
    </w:p>
    <w:p w:rsidR="002B5145" w:rsidRDefault="002B5145" w:rsidP="002B5145">
      <w:pPr>
        <w:ind w:firstLineChars="200" w:firstLine="420"/>
        <w:rPr>
          <w:rFonts w:ascii="宋体" w:hAnsi="宋体" w:hint="eastAsia"/>
        </w:rPr>
      </w:pPr>
      <w:r>
        <w:rPr>
          <w:rFonts w:ascii="宋体" w:hAnsi="宋体" w:hint="eastAsia"/>
        </w:rPr>
        <w:t>未知价法为投资者提供了公平的交易方式。投资者下达买卖指令时，并不知道确切的价格。因此，所有基金投资者都有平等机会评估4：00之前的信息；同样地，所有投资者也无法利用4：00之后的信息。这一规定的重要性显而易见。例如，在4：00之后有一重要事件，如公司宣布有重大的盈利，则很可能第二天股市开盘后基金净值将随股价的上涨而上升。“未知价法”确保了公平。那些在消息公布之前买入的投资者享受了收益，之后买入基金的投资者则不能分享此收益，因为它要以上涨了的NAV买入基金。</w:t>
      </w:r>
    </w:p>
    <w:p w:rsidR="002B5145" w:rsidRDefault="002B5145" w:rsidP="002B5145">
      <w:pPr>
        <w:ind w:firstLineChars="200" w:firstLine="420"/>
        <w:rPr>
          <w:rFonts w:ascii="宋体" w:hAnsi="宋体" w:hint="eastAsia"/>
        </w:rPr>
      </w:pPr>
      <w:r>
        <w:rPr>
          <w:rFonts w:ascii="宋体" w:hAnsi="宋体" w:hint="eastAsia"/>
        </w:rPr>
        <w:t>投资者如不以未知价而以已知价买入基金，就可能享有收市后发生的重大利好消息带来的好处。盘后交易好比是以昨天的赛马结果来下赌注。</w:t>
      </w:r>
    </w:p>
    <w:p w:rsidR="002B5145" w:rsidRDefault="002B5145" w:rsidP="002B5145">
      <w:pPr>
        <w:ind w:firstLineChars="200" w:firstLine="420"/>
        <w:rPr>
          <w:rFonts w:ascii="宋体" w:hAnsi="宋体" w:hint="eastAsia"/>
        </w:rPr>
      </w:pPr>
      <w:r>
        <w:rPr>
          <w:rFonts w:ascii="宋体" w:hAnsi="宋体" w:hint="eastAsia"/>
        </w:rPr>
        <w:t>择时交易（market timing）本是一个投资术语，这里是指在短时间内频繁买卖共同基金的行为。择时交易损害长期投资者的利益，故在招募说明书中一般都写明要监控并防止此类行为。许多基金管理公司设有“择时交易警察” （timing police）以检查和阻止此类行为。</w:t>
      </w:r>
    </w:p>
    <w:p w:rsidR="002B5145" w:rsidRDefault="002B5145" w:rsidP="002B5145">
      <w:pPr>
        <w:ind w:firstLineChars="200" w:firstLine="420"/>
        <w:rPr>
          <w:rFonts w:ascii="宋体" w:hAnsi="宋体" w:hint="eastAsia"/>
        </w:rPr>
      </w:pPr>
      <w:r>
        <w:rPr>
          <w:rFonts w:ascii="宋体" w:hAnsi="宋体" w:hint="eastAsia"/>
        </w:rPr>
        <w:t>短线策略能够奏效是因为一些基金以过时的（stale）组合证券价格计算其NAV。典型</w:t>
      </w:r>
      <w:r>
        <w:rPr>
          <w:rFonts w:ascii="宋体" w:hAnsi="宋体" w:hint="eastAsia"/>
        </w:rPr>
        <w:lastRenderedPageBreak/>
        <w:t>的例子是一个美国的基金持有日本的股票。由于时差的原因，日本股市在美国东部时间凌晨2时就收市了。如果基金管理人以日本收市价来计算当天下午4：00的基金净值，所使用的信息是14小时之前的了。如果在纽约股市的交易时间有利好消息，会导致日本股市第二天上涨，但昨天的价格并不能反映这些消息，故NAV就人为地做低了。短线投资者以过时的价格买入并在第二天卖出，肯定可以获利。这些策略称为“时差套利”（time zone arbitrage）。</w:t>
      </w:r>
    </w:p>
    <w:p w:rsidR="002B5145" w:rsidRDefault="002B5145" w:rsidP="002B5145">
      <w:pPr>
        <w:ind w:firstLineChars="200" w:firstLine="420"/>
        <w:rPr>
          <w:rFonts w:ascii="宋体" w:hAnsi="宋体" w:hint="eastAsia"/>
        </w:rPr>
      </w:pPr>
      <w:r>
        <w:rPr>
          <w:rFonts w:ascii="宋体" w:hAnsi="宋体" w:hint="eastAsia"/>
        </w:rPr>
        <w:t>基金中另一种类似择时交易的情形发生在流动性差的高收益债券或小盘基金中。基金的这些证券难以在收市前几个小时买卖，故为择时提供了可能。这种方式称作“流动性套利” （liquidity arbitrage）。</w:t>
      </w:r>
    </w:p>
    <w:p w:rsidR="002B5145" w:rsidRDefault="002B5145" w:rsidP="002B5145">
      <w:pPr>
        <w:ind w:firstLineChars="200" w:firstLine="420"/>
        <w:rPr>
          <w:rFonts w:ascii="宋体" w:hAnsi="宋体" w:hint="eastAsia"/>
        </w:rPr>
      </w:pPr>
      <w:r>
        <w:rPr>
          <w:rFonts w:ascii="宋体" w:hAnsi="宋体" w:hint="eastAsia"/>
        </w:rPr>
        <w:t>择时交易严重损害了其他基金投资者的利益，计其危害有：（1）摊薄了基金资产净值；（2）频繁买卖增加了基金的交易佣金支出；（3）卖出股票可能使基金实现部分应税资本利得；（4）迫使基金经理保留较高比例现金以应付赎回，降低了基金资产的使用效率；（5）可能导致基金经理在下跌市场中抛出股票，从而放大损失。最近的一个研究表明，择时者每年给基金造成大约40亿美元的损失。</w:t>
      </w:r>
      <w:r>
        <w:rPr>
          <w:rStyle w:val="a5"/>
          <w:rFonts w:ascii="宋体" w:hAnsi="宋体" w:hint="eastAsia"/>
        </w:rPr>
        <w:endnoteReference w:customMarkFollows="1" w:id="1"/>
        <w:t>①</w:t>
      </w:r>
    </w:p>
    <w:p w:rsidR="002B5145" w:rsidRDefault="002B5145" w:rsidP="002B5145">
      <w:pPr>
        <w:ind w:firstLineChars="200" w:firstLine="420"/>
        <w:rPr>
          <w:rFonts w:ascii="宋体" w:hAnsi="宋体" w:hint="eastAsia"/>
        </w:rPr>
      </w:pPr>
      <w:r>
        <w:rPr>
          <w:rFonts w:ascii="宋体" w:hAnsi="宋体" w:hint="eastAsia"/>
        </w:rPr>
        <w:t>基金管理人对付择时交易最简单的方式就是拒绝择时者的申购。许多基金收取短期交易费（早期赎回费），这可以使套利者无利可图。一般这些费用都归入基金资产，以补偿短期套利费用。此外，基金管理人还应在市场变动可能导致NAV过时的情况下，在纽约证券交易所收市后更新NAV。这叫做给基金以“公平价格”，以消除择时者的套利。</w:t>
      </w:r>
    </w:p>
    <w:p w:rsidR="002B5145" w:rsidRDefault="002B5145" w:rsidP="002B5145">
      <w:pPr>
        <w:ind w:firstLineChars="200" w:firstLine="420"/>
        <w:jc w:val="center"/>
        <w:rPr>
          <w:rFonts w:ascii="宋体" w:hAnsi="宋体" w:hint="eastAsia"/>
        </w:rPr>
      </w:pPr>
    </w:p>
    <w:p w:rsidR="002B5145" w:rsidRDefault="002B5145" w:rsidP="002B5145">
      <w:pPr>
        <w:ind w:firstLineChars="200" w:firstLine="422"/>
        <w:jc w:val="center"/>
        <w:rPr>
          <w:rFonts w:ascii="宋体" w:hAnsi="宋体" w:hint="eastAsia"/>
          <w:b/>
        </w:rPr>
      </w:pPr>
      <w:r>
        <w:rPr>
          <w:rFonts w:ascii="宋体" w:hAnsi="宋体" w:hint="eastAsia"/>
          <w:b/>
        </w:rPr>
        <w:t>择时交易的违规做法</w:t>
      </w:r>
    </w:p>
    <w:p w:rsidR="002B5145" w:rsidRDefault="002B5145" w:rsidP="002B5145">
      <w:pPr>
        <w:ind w:firstLineChars="200" w:firstLine="420"/>
        <w:rPr>
          <w:rFonts w:ascii="宋体" w:hAnsi="宋体" w:hint="eastAsia"/>
        </w:rPr>
      </w:pPr>
      <w:r>
        <w:rPr>
          <w:rFonts w:ascii="宋体" w:hAnsi="宋体" w:hint="eastAsia"/>
        </w:rPr>
        <w:t>下面主要以</w:t>
      </w:r>
      <w:proofErr w:type="gramStart"/>
      <w:r>
        <w:rPr>
          <w:rFonts w:ascii="宋体" w:hAnsi="宋体" w:hint="eastAsia"/>
        </w:rPr>
        <w:t>斯皮策在</w:t>
      </w:r>
      <w:proofErr w:type="gramEnd"/>
      <w:r>
        <w:rPr>
          <w:rFonts w:ascii="宋体" w:hAnsi="宋体" w:hint="eastAsia"/>
        </w:rPr>
        <w:t>纽约州最高法院起诉金丝雀资本合伙公司一案</w:t>
      </w:r>
      <w:r>
        <w:rPr>
          <w:rStyle w:val="a5"/>
          <w:rFonts w:ascii="宋体" w:hAnsi="宋体" w:hint="eastAsia"/>
        </w:rPr>
        <w:endnoteReference w:customMarkFollows="1" w:id="2"/>
        <w:t>②</w:t>
      </w:r>
      <w:r>
        <w:rPr>
          <w:rFonts w:ascii="宋体" w:hAnsi="宋体" w:hint="eastAsia"/>
        </w:rPr>
        <w:t>为例，结合其他违规事件，概述被告从事对冲基金投资和对共同基金的择时交易违规的基本事实。</w:t>
      </w:r>
    </w:p>
    <w:p w:rsidR="002B5145" w:rsidRDefault="002B5145" w:rsidP="002B5145">
      <w:pPr>
        <w:ind w:firstLineChars="200" w:firstLine="420"/>
        <w:rPr>
          <w:rFonts w:ascii="宋体" w:hAnsi="宋体" w:hint="eastAsia"/>
        </w:rPr>
      </w:pPr>
      <w:r>
        <w:rPr>
          <w:rFonts w:ascii="宋体" w:hAnsi="宋体" w:hint="eastAsia"/>
        </w:rPr>
        <w:t>Stern是金丝雀投资管理公司（以下简称Canary）的高级管理人员，该公司从管理Canary的资产中收取1.5%的管理费，并在利润达到一定水平时享受25%的利润分成。到2003年6月，Canary收取了大约4000万美元的管理费和提成费。费用的规模反映了Canary投资的成功。Canary雇佣了许多专业人士和交易员，并使用复杂的计算机模型和设备，以确认和利用盘后及择时交易的机会。因为大量的业务要在美国市场收市后进行，Canary的雇员通常工作到晚上。</w:t>
      </w:r>
    </w:p>
    <w:p w:rsidR="002B5145" w:rsidRDefault="002B5145" w:rsidP="002B5145">
      <w:pPr>
        <w:ind w:firstLineChars="200" w:firstLine="420"/>
        <w:rPr>
          <w:rFonts w:ascii="宋体" w:hAnsi="宋体" w:hint="eastAsia"/>
        </w:rPr>
      </w:pPr>
      <w:r>
        <w:rPr>
          <w:rFonts w:ascii="宋体" w:hAnsi="宋体" w:hint="eastAsia"/>
        </w:rPr>
        <w:t>Canary在2000-2003年间与包括美洲银行、证券信托公司（STC）、第一银行、简纳斯（Janus）、斯特朗（Strong）等机构管理或服务的数十个基金家族达成协议，允许它在许多不同的基金中进行盘后与择时交易。这些基金通常是国际或股票基金，可以进行时差或流动性套利。择时后被告将资金在这些不同的基金中尽快转移，不用时就放在同一基金家族的货币市场基金或类似基金中，并向基金管理人保证，它可以就这些资金收取管理费以及其他费用。作为补偿，基金管理人有时放弃短期持有的赎回费用，这就使基金少收了应用于补偿其他投资者的费用。</w:t>
      </w:r>
    </w:p>
    <w:p w:rsidR="002B5145" w:rsidRDefault="002B5145" w:rsidP="002B5145">
      <w:pPr>
        <w:ind w:firstLineChars="200" w:firstLine="420"/>
        <w:rPr>
          <w:rFonts w:ascii="宋体" w:hAnsi="宋体" w:hint="eastAsia"/>
        </w:rPr>
      </w:pPr>
      <w:r>
        <w:rPr>
          <w:rFonts w:ascii="宋体" w:hAnsi="宋体" w:hint="eastAsia"/>
        </w:rPr>
        <w:t>Stern不断改进其交易策略，获取了大量不当利益。2000年之前，他采取了一种简单的择时交易策略：在市场上升时大量买入小盘科技基金（属于流动性套利），然后在市场将要下跌时卖出。Stern可以反复地从事这项交易，因为他与基金家族的高级管理人员有默契，可以无限期地进行择时交易，而基金管理人则收到一笔跟随资产（Sticky asset）作为回报。</w:t>
      </w:r>
    </w:p>
    <w:p w:rsidR="002B5145" w:rsidRDefault="002B5145" w:rsidP="002B5145">
      <w:pPr>
        <w:ind w:firstLineChars="200" w:firstLine="420"/>
        <w:rPr>
          <w:rFonts w:ascii="宋体" w:hAnsi="宋体" w:hint="eastAsia"/>
        </w:rPr>
      </w:pPr>
      <w:r>
        <w:rPr>
          <w:rFonts w:ascii="宋体" w:hAnsi="宋体" w:hint="eastAsia"/>
        </w:rPr>
        <w:t>2000年，Canary运用一种叫“雷达下择时（Timing under radar）”</w:t>
      </w:r>
      <w:r>
        <w:rPr>
          <w:rStyle w:val="a5"/>
          <w:rFonts w:ascii="宋体" w:hAnsi="宋体" w:hint="eastAsia"/>
        </w:rPr>
        <w:endnoteReference w:customMarkFollows="1" w:id="3"/>
        <w:t>③</w:t>
      </w:r>
      <w:r>
        <w:rPr>
          <w:rFonts w:ascii="宋体" w:hAnsi="宋体" w:hint="eastAsia"/>
        </w:rPr>
        <w:t>的方法进行择时交易。择时交易者通过经纪人或其他中介机构将买卖基金的指令集中提交给共同基金,从而不易被发现。2001年，面对下跌的市场，Canary运用一种组合方式，使其可以卖空基金，并从下跌的NAV中获利。为达此目的，Canary首先要向基金管理人了解基金的完整组合情况，之后（1）卖空这些证券，以设立此基金一面反面的镜子（create a negative mirror image of the fund）；（2）以相同金额买入基金（buy the fund in an offsetting a mount）。</w:t>
      </w:r>
      <w:r>
        <w:rPr>
          <w:rFonts w:ascii="宋体" w:hAnsi="宋体" w:hint="eastAsia"/>
        </w:rPr>
        <w:lastRenderedPageBreak/>
        <w:t>这样，Canary就持有基金份额，但总体上处于“中立位置”（overall market neutral）。由于进行了全面对冲（fully hedged），它就等待市场机会，使基金价格下跌，从而创造出套利机会。Canary在此时将基金份额以较高的价格赎回（因为NAV尚未充分反映市场的下跌趋势），并以更低的市价结清短头部位。剩下的现金就是其利润。</w:t>
      </w:r>
    </w:p>
    <w:p w:rsidR="002B5145" w:rsidRDefault="002B5145" w:rsidP="002B5145">
      <w:pPr>
        <w:ind w:firstLineChars="200" w:firstLine="420"/>
        <w:rPr>
          <w:rFonts w:ascii="宋体" w:hAnsi="宋体" w:hint="eastAsia"/>
        </w:rPr>
      </w:pPr>
      <w:r>
        <w:rPr>
          <w:rFonts w:ascii="宋体" w:hAnsi="宋体" w:hint="eastAsia"/>
        </w:rPr>
        <w:t>通过择时与盘后交易，被告获取了丰厚利润。Stern从1998年7月开始做择时交易。1998年，他获取18%的回报，1999年获取了11%的回报，2000年，Canary获取了49.5%的回报，而同期S&amp;P500指数和NASDAQ分别下跌了9%和39%。2001年，获得了28.5%的收益，而同期S&amp;P500和NASDAQ分别下跌13%和21%。2002年，获得了15%收益，而同期S&amp;P和NASDAQ分别下跌23%和31%。</w:t>
      </w:r>
    </w:p>
    <w:p w:rsidR="002B5145" w:rsidRDefault="002B5145" w:rsidP="002B5145">
      <w:pPr>
        <w:ind w:firstLineChars="200" w:firstLine="420"/>
        <w:rPr>
          <w:rFonts w:ascii="宋体" w:hAnsi="宋体" w:hint="eastAsia"/>
        </w:rPr>
      </w:pPr>
      <w:r>
        <w:rPr>
          <w:rFonts w:ascii="宋体" w:hAnsi="宋体" w:hint="eastAsia"/>
        </w:rPr>
        <w:t>基金管理人和其他中介机构允许择时交易和盘后交易的一个诱惑是，基金管理人可以从择时者投入基金的资产中收取管理费，其他中介机构则可以从增加的资产中收取相应费用，甚至还可以进行利润分成，如STC向Canary收取托管资产1％的市场分成费（这是正常收费的10倍），并就Canary的所得收取4％的利润分成费。</w:t>
      </w:r>
    </w:p>
    <w:p w:rsidR="002B5145" w:rsidRDefault="002B5145" w:rsidP="002B5145">
      <w:pPr>
        <w:ind w:firstLineChars="200" w:firstLine="420"/>
        <w:rPr>
          <w:rFonts w:ascii="宋体" w:hAnsi="宋体" w:hint="eastAsia"/>
        </w:rPr>
      </w:pPr>
      <w:r>
        <w:rPr>
          <w:rFonts w:ascii="宋体" w:hAnsi="宋体" w:hint="eastAsia"/>
        </w:rPr>
        <w:t>允许择时交易的另一个诱惑是基金管理人通常收到一笔“跟随资产”。这些资产通常是长期的，并不用于作择时交易，而是放入基金管理人管理的金融工具（如债券基金或对冲基金），确保基金管理人有一笔稳定的管理费收入。</w:t>
      </w:r>
    </w:p>
    <w:p w:rsidR="002B5145" w:rsidRDefault="002B5145" w:rsidP="002B5145">
      <w:pPr>
        <w:ind w:firstLineChars="200" w:firstLine="420"/>
        <w:rPr>
          <w:rFonts w:ascii="宋体" w:hAnsi="宋体" w:hint="eastAsia"/>
        </w:rPr>
      </w:pPr>
      <w:r>
        <w:rPr>
          <w:rFonts w:ascii="宋体" w:hAnsi="宋体" w:hint="eastAsia"/>
        </w:rPr>
        <w:t>基金管理人和其他中介机构为获取以上不当利益，配合择时者频繁交易，严重损害其他投资者的利益，其行为令人触目惊心。</w:t>
      </w:r>
    </w:p>
    <w:p w:rsidR="002B5145" w:rsidRDefault="002B5145" w:rsidP="002B5145">
      <w:pPr>
        <w:ind w:firstLineChars="200" w:firstLine="420"/>
        <w:rPr>
          <w:rFonts w:ascii="宋体" w:hAnsi="宋体" w:hint="eastAsia"/>
        </w:rPr>
      </w:pPr>
      <w:r>
        <w:rPr>
          <w:rFonts w:ascii="宋体" w:hAnsi="宋体" w:hint="eastAsia"/>
        </w:rPr>
        <w:t>Canary的盘后交易和择时交易与美洲银行做得最多。从2001年开始，美洲银行（1）为Canary安装了最先进的电子设备，允许它可以在美洲银行管理的数百个基金进行盘后交易；（2）允许它在其基金家族“Nations Funds”进行择时交易；（3）为它提供几千万至数亿美元的信用资金进行盘后及择时交易；（4）在市场下跌时为Canary提供短头部分的衍生品，以进行择时。这些事实没有在“Nations Funds”的招募说明书中披露。在此过程中，Canary成为美洲银行最大的客户。这种关系是互利的：Canary通过盘后和择时交易获取了数千万美元的利润，美洲银行也获取了数百万美元利润。</w:t>
      </w:r>
    </w:p>
    <w:p w:rsidR="002B5145" w:rsidRDefault="002B5145" w:rsidP="002B5145">
      <w:pPr>
        <w:ind w:firstLineChars="200" w:firstLine="420"/>
        <w:rPr>
          <w:rFonts w:ascii="宋体" w:hAnsi="宋体" w:hint="eastAsia"/>
        </w:rPr>
      </w:pPr>
      <w:r>
        <w:rPr>
          <w:rFonts w:ascii="宋体" w:hAnsi="宋体" w:hint="eastAsia"/>
        </w:rPr>
        <w:t>为了方便Canary进行盘后择时交易，美洲银行同意为Canary在银行的电子ADP清算系统开通直接的接口。使用这一本专属于美洲银行的技术，Canary可以在不经过美洲银行同意的情况下，在东部时间下午6：30之前直接将交易指令输入到Canary在新泽西的电脑中。美洲银行清算部门的代表还将盘后交易功能作为ADP系统的新卖点。</w:t>
      </w:r>
    </w:p>
    <w:p w:rsidR="002B5145" w:rsidRDefault="002B5145" w:rsidP="002B5145">
      <w:pPr>
        <w:spacing w:beforeLines="20" w:before="62" w:afterLines="20" w:after="62" w:line="300" w:lineRule="exact"/>
        <w:ind w:firstLineChars="200" w:firstLine="440"/>
        <w:rPr>
          <w:rFonts w:ascii="宋体" w:hAnsi="宋体" w:hint="eastAsia"/>
        </w:rPr>
      </w:pPr>
      <w:r>
        <w:rPr>
          <w:rFonts w:ascii="宋体" w:hAnsi="宋体" w:hint="eastAsia"/>
          <w:sz w:val="22"/>
        </w:rPr>
        <w:t>STC在广泛的盘后和择时交易中也成为canary 的合作伙伴。</w:t>
      </w:r>
      <w:r>
        <w:rPr>
          <w:rFonts w:ascii="宋体" w:hAnsi="宋体" w:hint="eastAsia"/>
        </w:rPr>
        <w:t>STC为基金中介服务机构提供电子交易平台，使之可以买卖共同基金。该平台每天连接数百个基金处理数千笔交易。STC在每天交易时间内将这些指令集中起来，并在晚上将它们交给中央证券结算公司处理。STC就所托管的资产收取约0.1%的费用。</w:t>
      </w:r>
    </w:p>
    <w:p w:rsidR="002B5145" w:rsidRDefault="002B5145" w:rsidP="002B5145">
      <w:pPr>
        <w:ind w:firstLineChars="200" w:firstLine="420"/>
        <w:rPr>
          <w:rFonts w:ascii="宋体" w:hAnsi="宋体" w:hint="eastAsia"/>
        </w:rPr>
      </w:pPr>
      <w:r>
        <w:rPr>
          <w:rFonts w:ascii="宋体" w:hAnsi="宋体" w:hint="eastAsia"/>
        </w:rPr>
        <w:t>Canary利用STC的电子交易平台进行盘后及择时交易。该平台极其便利Canary 的活动：（1）它可以交易到晚上9：00；（2）STC提供了非常多的基金进行“雷达下的”择时。STC答应以其标准的0.1%</w:t>
      </w:r>
      <w:proofErr w:type="gramStart"/>
      <w:r>
        <w:rPr>
          <w:rFonts w:ascii="宋体" w:hAnsi="宋体" w:hint="eastAsia"/>
        </w:rPr>
        <w:t>收费让</w:t>
      </w:r>
      <w:proofErr w:type="gramEnd"/>
      <w:r>
        <w:rPr>
          <w:rFonts w:ascii="宋体" w:hAnsi="宋体" w:hint="eastAsia"/>
        </w:rPr>
        <w:t>Canary进入其交易平台。</w:t>
      </w:r>
    </w:p>
    <w:p w:rsidR="002B5145" w:rsidRDefault="002B5145" w:rsidP="002B5145">
      <w:pPr>
        <w:ind w:firstLineChars="200" w:firstLine="420"/>
        <w:rPr>
          <w:rFonts w:ascii="宋体" w:hAnsi="宋体" w:hint="eastAsia"/>
        </w:rPr>
      </w:pPr>
      <w:r>
        <w:rPr>
          <w:rFonts w:ascii="宋体" w:hAnsi="宋体" w:hint="eastAsia"/>
        </w:rPr>
        <w:t>为掩护Canary的违规活动，STC将Canary的交易分成不同规模，增加基金管理公司发现的难度：如收到基金对交易活动的反馈，而该反馈不能通过STC与该基金协商解决，则STC通知Canary,不再对该基金进行交易；STC安排“sticky”或策略资产进入多个“一揽子账户”，以增加在基金中的稳定性，减少被发现的机会；STC不向其他择时者提供相同或类似的服务。</w:t>
      </w:r>
    </w:p>
    <w:p w:rsidR="002B5145" w:rsidRDefault="002B5145" w:rsidP="002B5145">
      <w:pPr>
        <w:ind w:firstLineChars="200" w:firstLine="420"/>
        <w:rPr>
          <w:rFonts w:ascii="宋体" w:hAnsi="宋体" w:hint="eastAsia"/>
        </w:rPr>
      </w:pPr>
      <w:r>
        <w:rPr>
          <w:rFonts w:ascii="宋体" w:hAnsi="宋体" w:hint="eastAsia"/>
        </w:rPr>
        <w:t>择时和盘后交易能够在基金管理公司和其他中介机构内部一路绿灯，畅行无阻，内控制度形同虚设，这更令人触目惊心。盘后交易直接违反了法律关于当天交易指令必须在下午4：00前到达的规定。择时交易虽然没有直接违反法律规定，但违反了管理人对投资人应负的</w:t>
      </w:r>
      <w:r>
        <w:rPr>
          <w:rFonts w:ascii="宋体" w:hAnsi="宋体" w:hint="eastAsia"/>
        </w:rPr>
        <w:lastRenderedPageBreak/>
        <w:t>诚信义务，并违反了基金招募说明书中的反择时交易规定，因此，也是违法行为。许多例子证明基金管理人违反了招募说明书的约定。</w:t>
      </w:r>
    </w:p>
    <w:p w:rsidR="002B5145" w:rsidRDefault="002B5145" w:rsidP="002B5145">
      <w:pPr>
        <w:ind w:firstLineChars="200" w:firstLine="420"/>
        <w:rPr>
          <w:rFonts w:ascii="宋体" w:hAnsi="宋体" w:hint="eastAsia"/>
        </w:rPr>
      </w:pPr>
      <w:r>
        <w:rPr>
          <w:rFonts w:ascii="宋体" w:hAnsi="宋体" w:hint="eastAsia"/>
        </w:rPr>
        <w:t>除了择时和盘后两项主要违规行为外，共同基金业还有其他的违规行为，包括：</w:t>
      </w:r>
    </w:p>
    <w:p w:rsidR="002B5145" w:rsidRDefault="002B5145" w:rsidP="002B5145">
      <w:pPr>
        <w:ind w:firstLineChars="200" w:firstLine="420"/>
        <w:rPr>
          <w:rFonts w:ascii="宋体" w:hAnsi="宋体" w:hint="eastAsia"/>
        </w:rPr>
      </w:pPr>
      <w:r>
        <w:rPr>
          <w:rFonts w:ascii="宋体" w:hAnsi="宋体" w:hint="eastAsia"/>
        </w:rPr>
        <w:t>1．选择性披露投资组合（Selective disclosure of portfolio holdings），即基金管理人将基金投资组合的情况事先披露给一些大客户。大客户得到这些信息后，可以结合对组合证券的分析和对市场的</w:t>
      </w:r>
      <w:proofErr w:type="gramStart"/>
      <w:r>
        <w:rPr>
          <w:rFonts w:ascii="宋体" w:hAnsi="宋体" w:hint="eastAsia"/>
        </w:rPr>
        <w:t>研</w:t>
      </w:r>
      <w:proofErr w:type="gramEnd"/>
      <w:r>
        <w:rPr>
          <w:rFonts w:ascii="宋体" w:hAnsi="宋体" w:hint="eastAsia"/>
        </w:rPr>
        <w:t>判，决定申购还是赎回。前述的Canary还利用这些信息进行对冲交易。有选择地披露投资组合违反了信息披露的公平、平等、及时原则，可能给其他投资者带来损害，为法律所禁止。</w:t>
      </w:r>
    </w:p>
    <w:p w:rsidR="002B5145" w:rsidRDefault="002B5145" w:rsidP="002B5145">
      <w:pPr>
        <w:ind w:firstLineChars="200" w:firstLine="420"/>
        <w:rPr>
          <w:rFonts w:ascii="宋体" w:hAnsi="宋体" w:hint="eastAsia"/>
        </w:rPr>
      </w:pPr>
      <w:r>
        <w:rPr>
          <w:rFonts w:ascii="宋体" w:hAnsi="宋体" w:hint="eastAsia"/>
        </w:rPr>
        <w:t>2．根据基金销售量分配基金交易佣金。基金一般租用证券公司席位买卖证券，为此向证券公司支付佣金。佣金一般用以换取证券公司对基金的研究支持与服务，以期对基金投资业绩有所贡献，使投资人得益。基金销售在利益上与基金管理公司有关而与投资者无关，以交易佣金支付给为基金销售提供服务的中介机构，不符合投资者的利益。许多基金管理公司为了获得证券公司的销售支持，将销售量与交易佣金挂钩，即所谓的直接佣金（directed brokerage）。虽然法律没有明令禁止这种做法，但有可能造成利益冲突，故受到NASD现行规则的严格监管。NASD禁止证券公司以收取交易佣金作为销售基金条件的做法。一些基金管理公司为增加基金销售，扩大管理资产规模，与证券公司达成佣金分配与销售量挂钩协议，损害投资者利益。</w:t>
      </w:r>
    </w:p>
    <w:p w:rsidR="002B5145" w:rsidRDefault="002B5145" w:rsidP="002B5145">
      <w:pPr>
        <w:ind w:firstLineChars="200" w:firstLine="420"/>
        <w:rPr>
          <w:rFonts w:ascii="宋体" w:hAnsi="宋体" w:hint="eastAsia"/>
        </w:rPr>
      </w:pPr>
      <w:r>
        <w:rPr>
          <w:rFonts w:ascii="宋体" w:hAnsi="宋体" w:hint="eastAsia"/>
        </w:rPr>
        <w:t>3．管理费分享安排</w:t>
      </w:r>
    </w:p>
    <w:p w:rsidR="002B5145" w:rsidRDefault="002B5145" w:rsidP="002B5145">
      <w:pPr>
        <w:ind w:firstLineChars="200" w:firstLine="420"/>
        <w:rPr>
          <w:rFonts w:ascii="宋体" w:hAnsi="宋体" w:hint="eastAsia"/>
        </w:rPr>
      </w:pPr>
      <w:r>
        <w:rPr>
          <w:rFonts w:ascii="宋体" w:hAnsi="宋体" w:hint="eastAsia"/>
        </w:rPr>
        <w:t>激烈的市场竞争，使销售基金的中介机构在收取前述费用之外，还要求得到其他的补偿。行业的习惯做法是基金管理人或主承销商从其收入中拿出一部分支付给销售机构，即所谓的“收入分成安排”（</w:t>
      </w:r>
      <w:bookmarkStart w:id="0" w:name="OLE_LINK1"/>
      <w:r>
        <w:rPr>
          <w:rFonts w:ascii="宋体" w:hAnsi="宋体" w:hint="eastAsia"/>
        </w:rPr>
        <w:t>revenue sharing arrangement</w:t>
      </w:r>
      <w:bookmarkEnd w:id="0"/>
      <w:r>
        <w:rPr>
          <w:rFonts w:ascii="宋体" w:hAnsi="宋体" w:hint="eastAsia"/>
        </w:rPr>
        <w:t>）。</w:t>
      </w:r>
    </w:p>
    <w:p w:rsidR="002B5145" w:rsidRDefault="002B5145" w:rsidP="002B5145">
      <w:pPr>
        <w:ind w:firstLineChars="200" w:firstLine="420"/>
        <w:rPr>
          <w:rFonts w:ascii="宋体" w:hAnsi="宋体" w:hint="eastAsia"/>
        </w:rPr>
      </w:pPr>
      <w:r>
        <w:rPr>
          <w:rFonts w:ascii="宋体" w:hAnsi="宋体" w:hint="eastAsia"/>
        </w:rPr>
        <w:t>由这种安排引发的保护投资者利益的主要问题是，收取了这种费用的中介机构是否在向投资者提供投资建议时受到影响。由于基金的数量众多，收取分成的销售中介可能优先向客户推荐这些基金，厚此薄彼，误导投资者。已发生了多起这种行为，造成了不良影响。</w:t>
      </w:r>
    </w:p>
    <w:p w:rsidR="002B5145" w:rsidRDefault="002B5145" w:rsidP="002B5145">
      <w:pPr>
        <w:ind w:firstLineChars="200" w:firstLine="420"/>
        <w:rPr>
          <w:rFonts w:ascii="宋体" w:hAnsi="宋体" w:hint="eastAsia"/>
        </w:rPr>
      </w:pPr>
      <w:r>
        <w:rPr>
          <w:rFonts w:ascii="宋体" w:hAnsi="宋体" w:hint="eastAsia"/>
        </w:rPr>
        <w:t>基金销售中还有其他一些不当做法，如非现金补偿等。非现金补偿包括豪华旅游、消费等。这些补偿安排导致了销售人员个人的利益冲突，并对相关公司监督其销售人员的能力产生干扰。Morgan Stanley DW就曾举办销售比赛，对那些完成规定的基金销售指标的</w:t>
      </w:r>
      <w:proofErr w:type="gramStart"/>
      <w:r>
        <w:rPr>
          <w:rFonts w:ascii="宋体" w:hAnsi="宋体" w:hint="eastAsia"/>
        </w:rPr>
        <w:t>人员奖给予</w:t>
      </w:r>
      <w:proofErr w:type="gramEnd"/>
      <w:r>
        <w:rPr>
          <w:rFonts w:ascii="宋体" w:hAnsi="宋体" w:hint="eastAsia"/>
        </w:rPr>
        <w:t>宴会、旅游、音乐票及其他物质奖励。该公司并没有任何监控制度来阻止或预防这些普遍的不当行为发生。基金销售的非现金补偿为NASD所禁止。</w:t>
      </w:r>
    </w:p>
    <w:p w:rsidR="002B5145" w:rsidRDefault="002B5145" w:rsidP="002B5145">
      <w:pPr>
        <w:rPr>
          <w:rFonts w:ascii="宋体" w:hAnsi="宋体" w:hint="eastAsia"/>
        </w:rPr>
      </w:pPr>
    </w:p>
    <w:p w:rsidR="002B5145" w:rsidRDefault="002B5145" w:rsidP="002B5145">
      <w:pPr>
        <w:jc w:val="center"/>
        <w:rPr>
          <w:rFonts w:ascii="宋体" w:hAnsi="宋体" w:hint="eastAsia"/>
          <w:b/>
          <w:bCs/>
        </w:rPr>
      </w:pPr>
      <w:r>
        <w:rPr>
          <w:rFonts w:ascii="宋体" w:hAnsi="宋体" w:hint="eastAsia"/>
          <w:b/>
          <w:bCs/>
        </w:rPr>
        <w:t>对违规行为的处罚以及完善基金治理的措施</w:t>
      </w:r>
    </w:p>
    <w:p w:rsidR="002B5145" w:rsidRDefault="002B5145" w:rsidP="002B5145">
      <w:pPr>
        <w:ind w:firstLineChars="200" w:firstLine="420"/>
        <w:rPr>
          <w:rFonts w:ascii="宋体" w:hAnsi="宋体" w:hint="eastAsia"/>
        </w:rPr>
      </w:pPr>
    </w:p>
    <w:p w:rsidR="002B5145" w:rsidRDefault="002B5145" w:rsidP="002B5145">
      <w:pPr>
        <w:ind w:firstLineChars="200" w:firstLine="420"/>
        <w:rPr>
          <w:rFonts w:ascii="宋体" w:hAnsi="宋体" w:hint="eastAsia"/>
        </w:rPr>
      </w:pPr>
      <w:r>
        <w:rPr>
          <w:rFonts w:ascii="宋体" w:hAnsi="宋体" w:hint="eastAsia"/>
        </w:rPr>
        <w:t>违规事件发生后，相关的执法机构陆续采取法律行动，包括SEC及有关州检察院在内的机构从各自的职能出发，对违规机构与个人采取法律措施。自2003年9月以来，SEC陆续对包括Bank of America、Strong Capital Management、Putnam Investment Management、Prudential Securities、Morgan Stanley DW、Alliance Capital Management、Invesco Funds Group、Massachusetts Financial Services等著名的资产管理公司或证券公司在内的二十多家违规机构及这些机构的违规人员采取法律行动。制裁措施包括谴责、停止侵害、返还违法所得、罚款、暂停或终止资格、禁止从业等。SEC还提起一些民事诉讼或与州检察长一致采取法律行动。SEC采取行政诉讼时，被告常常要求和解，同意以减轻处罚以及公开其违法事实为条件，以节省开支并缩短审理时间。作为和解的条件，SEC一般要求被告同意公布其违法行为。和解结案，被告通常需支付巨额款项，如Massachusetts Financial Services支付3.5亿美元、美洲银行支付3.75亿美元、Strong Capital Management支付1.4亿美元、Alliance Capital Management支付2.5亿美元。这些款项，一部分是作为罚</w:t>
      </w:r>
      <w:r>
        <w:rPr>
          <w:rFonts w:ascii="宋体" w:hAnsi="宋体" w:hint="eastAsia"/>
        </w:rPr>
        <w:lastRenderedPageBreak/>
        <w:t>款，一部分用于补偿投资者损失。除采用前述措施外，SEC通常还要求违规公司聘请外部专业机构，提出加强内部控制和公司治理的措施。</w:t>
      </w:r>
    </w:p>
    <w:p w:rsidR="002B5145" w:rsidRDefault="002B5145" w:rsidP="002B5145">
      <w:pPr>
        <w:ind w:firstLineChars="200" w:firstLine="420"/>
        <w:rPr>
          <w:rFonts w:ascii="宋体" w:hAnsi="宋体" w:hint="eastAsia"/>
        </w:rPr>
      </w:pPr>
      <w:r>
        <w:rPr>
          <w:rFonts w:ascii="宋体" w:hAnsi="宋体" w:hint="eastAsia"/>
        </w:rPr>
        <w:t>与此同时，纽约、马萨诸塞、新泽西、科罗拉多、威斯康星等州的总检察长陆续在法院对违规公司及个人提起刑事诉讼，要求对触犯刑法的行为予以制裁。</w:t>
      </w:r>
    </w:p>
    <w:p w:rsidR="002B5145" w:rsidRDefault="002B5145" w:rsidP="002B5145">
      <w:pPr>
        <w:ind w:firstLineChars="200" w:firstLine="420"/>
        <w:rPr>
          <w:rFonts w:hint="eastAsia"/>
        </w:rPr>
      </w:pPr>
      <w:r>
        <w:rPr>
          <w:rFonts w:hint="eastAsia"/>
        </w:rPr>
        <w:t>此外，</w:t>
      </w:r>
      <w:r>
        <w:t xml:space="preserve"> NASD</w:t>
      </w:r>
      <w:r>
        <w:rPr>
          <w:rFonts w:hint="eastAsia"/>
        </w:rPr>
        <w:t>也充分发挥其自律组织作用，对</w:t>
      </w:r>
      <w:r>
        <w:t>Morgan Stanley</w:t>
      </w:r>
      <w:r>
        <w:rPr>
          <w:rFonts w:ascii="宋体" w:hAnsi="宋体" w:hint="eastAsia"/>
        </w:rPr>
        <w:t xml:space="preserve"> DW</w:t>
      </w:r>
      <w:r>
        <w:rPr>
          <w:rFonts w:hint="eastAsia"/>
        </w:rPr>
        <w:t>举办有奖销售比赛及直接佣金安排、对</w:t>
      </w:r>
      <w:r>
        <w:rPr>
          <w:rFonts w:ascii="宋体" w:hAnsi="宋体" w:hint="eastAsia"/>
        </w:rPr>
        <w:t>State Street Research Investment Services</w:t>
      </w:r>
      <w:r>
        <w:rPr>
          <w:rFonts w:hint="eastAsia"/>
        </w:rPr>
        <w:t>未能防止旗下基金的择时交易以及对</w:t>
      </w:r>
      <w:r>
        <w:rPr>
          <w:rFonts w:ascii="宋体" w:hAnsi="宋体" w:hint="eastAsia"/>
        </w:rPr>
        <w:t>AXA Advisors</w:t>
      </w:r>
      <w:r>
        <w:rPr>
          <w:rFonts w:hint="eastAsia"/>
        </w:rPr>
        <w:t>未能为客户提供销售折扣分别处以罚款。</w:t>
      </w:r>
    </w:p>
    <w:p w:rsidR="002B5145" w:rsidRDefault="002B5145" w:rsidP="002B5145">
      <w:pPr>
        <w:ind w:firstLineChars="200" w:firstLine="420"/>
        <w:rPr>
          <w:rFonts w:ascii="宋体" w:hAnsi="宋体"/>
        </w:rPr>
      </w:pPr>
      <w:r>
        <w:rPr>
          <w:rFonts w:ascii="宋体" w:hAnsi="宋体" w:hint="eastAsia"/>
        </w:rPr>
        <w:t>在对违规事件处罚的同时，国会、SEC及自律组织全方位检讨现有制度安排的合理性，并在充分听取有关方面的基础上，提出修改、补充与完善措施。从完善制度过程本身，也可以看出制度设计的有效性。</w:t>
      </w:r>
    </w:p>
    <w:p w:rsidR="002B5145" w:rsidRDefault="002B5145" w:rsidP="002B5145">
      <w:pPr>
        <w:ind w:firstLineChars="200" w:firstLine="420"/>
        <w:rPr>
          <w:rFonts w:ascii="宋体" w:hAnsi="宋体" w:hint="eastAsia"/>
        </w:rPr>
      </w:pPr>
      <w:r>
        <w:rPr>
          <w:rFonts w:ascii="宋体" w:hAnsi="宋体" w:hint="eastAsia"/>
        </w:rPr>
        <w:t>事件发生后，国会举行了多次听证会，听取了SEC、行业自律组织以及行业内有代表性的成员单位的主要负责人从各自角度对事件发表的意见以及提出的改进措施。美联储主席及财政部长也共同致信给参众两院，表达对事件的关心，支持国会采取强有力的措施，加强对共同基金业的监管，增强投资者的信心。一些国会议员提出了对相关法律的修正案或新的法律草案。SEC提出了一系列的修改、补充规则的建议，供各方讨论并提出意见，目前已有一些建议经SEC颁布变成最终规则，成为法律的组成部分。在国会听证和各方检讨过程中，大家所形成的共识是，要始终将投资人的利益放在第一位（investor's interests always come first）,基金业一定要诚信，对违法行为一定要严惩。与此同时，大家也认为现有的制度设计是有效的，行业的基础是牢固的，所出现的问题只是局部和个别的，没有动摇行业的根基，目前所需做的是对相关制度加以补充与完善。</w:t>
      </w:r>
    </w:p>
    <w:p w:rsidR="002B5145" w:rsidRDefault="002B5145" w:rsidP="002B5145">
      <w:pPr>
        <w:ind w:firstLineChars="200" w:firstLine="420"/>
        <w:rPr>
          <w:rFonts w:ascii="宋体" w:hAnsi="宋体" w:hint="eastAsia"/>
        </w:rPr>
      </w:pPr>
      <w:r>
        <w:rPr>
          <w:rFonts w:ascii="宋体" w:hAnsi="宋体" w:hint="eastAsia"/>
        </w:rPr>
        <w:t>在完善制度的过程中，各方既体现出共同的一面，也因立场与利益的原因，体现出不同的一面。如投资公司协会（ICI）总裁在国会作证时，就担心立法与行政部门做出过度反应，不利于行业的健康发展。</w:t>
      </w:r>
    </w:p>
    <w:p w:rsidR="002B5145" w:rsidRDefault="002B5145" w:rsidP="002B5145">
      <w:pPr>
        <w:ind w:firstLineChars="200" w:firstLine="420"/>
        <w:rPr>
          <w:rFonts w:ascii="宋体" w:hAnsi="宋体" w:hint="eastAsia"/>
        </w:rPr>
      </w:pPr>
      <w:r>
        <w:rPr>
          <w:rFonts w:ascii="宋体" w:hAnsi="宋体" w:hint="eastAsia"/>
        </w:rPr>
        <w:t>在对SEC的议案反应上，ICI也充分展示了其作为行业自律组织在维护会员利益时应有的立场和态度。如对SEC提出的加强基金公司治理的建议措施，ICI发表了不同意见。SEC建议应由独立董事担任基金公司董事会的董事长，ICI认为由谁担任董事长应由董事做出决定，SEC的建议实际上阻止了董事们做出独立决定。因为董事会的多数成员是独立董事，如果他们认为合适，就可以选举独立董事担任董事长。该建议可能使那些最胜任的人无法出任董事长。SEC还建议基金董事会中独立董事应达到75％以上，从而占绝大多数。ICI认为现有的规定已要求独立董事占多数，如要增加，达到三分之二就足够了，不需要达到75％。另外，针对SEC建议讨论要</w:t>
      </w:r>
      <w:proofErr w:type="gramStart"/>
      <w:r>
        <w:rPr>
          <w:rFonts w:ascii="宋体" w:hAnsi="宋体" w:hint="eastAsia"/>
        </w:rPr>
        <w:t>否限制</w:t>
      </w:r>
      <w:proofErr w:type="gramEnd"/>
      <w:r>
        <w:rPr>
          <w:rFonts w:ascii="宋体" w:hAnsi="宋体" w:hint="eastAsia"/>
        </w:rPr>
        <w:t>董事任职基金的数量，ICI认为不需要，可留给董事会每年的自我评估会上去讨论决定。虽然SEC对是否采纳自律组织的意见有最终决定权，但各方发表不同意见本身，就是一个很好的制衡，可以使最终成为法律的规定更加科学、合理和易于执行。</w:t>
      </w:r>
    </w:p>
    <w:p w:rsidR="002B5145" w:rsidRDefault="002B5145" w:rsidP="002B5145">
      <w:pPr>
        <w:ind w:firstLineChars="200" w:firstLine="420"/>
        <w:rPr>
          <w:rFonts w:ascii="宋体" w:hAnsi="宋体" w:hint="eastAsia"/>
        </w:rPr>
      </w:pPr>
      <w:r>
        <w:rPr>
          <w:rFonts w:ascii="宋体" w:hAnsi="宋体" w:hint="eastAsia"/>
        </w:rPr>
        <w:t>目前，国会的听证尚未结束，但作为行政部门，SEC要保证行业的有序运作，故陆续制定了一些旨在改进和完善现有行政规章的措施。至今为止，SEC已颁布以下新规则：</w:t>
      </w:r>
    </w:p>
    <w:p w:rsidR="002B5145" w:rsidRDefault="002B5145" w:rsidP="002B5145">
      <w:pPr>
        <w:ind w:firstLineChars="200" w:firstLine="420"/>
        <w:rPr>
          <w:rFonts w:hint="eastAsia"/>
        </w:rPr>
      </w:pPr>
      <w:r>
        <w:rPr>
          <w:rFonts w:hint="eastAsia"/>
        </w:rPr>
        <w:t>一、</w:t>
      </w:r>
      <w:smartTag w:uri="urn:schemas-microsoft-com:office:smarttags" w:element="chsdate">
        <w:smartTagPr>
          <w:attr w:name="IsROCDate" w:val="False"/>
          <w:attr w:name="IsLunarDate" w:val="False"/>
          <w:attr w:name="Day" w:val="17"/>
          <w:attr w:name="Month" w:val="12"/>
          <w:attr w:name="Year" w:val="2003"/>
        </w:smartTagPr>
        <w:r>
          <w:t>2003</w:t>
        </w:r>
        <w:r>
          <w:rPr>
            <w:rFonts w:hint="eastAsia"/>
          </w:rPr>
          <w:t>年</w:t>
        </w:r>
        <w:r>
          <w:t>12</w:t>
        </w:r>
        <w:r>
          <w:rPr>
            <w:rFonts w:hint="eastAsia"/>
          </w:rPr>
          <w:t>月</w:t>
        </w:r>
        <w:r>
          <w:t>17</w:t>
        </w:r>
        <w:r>
          <w:rPr>
            <w:rFonts w:hint="eastAsia"/>
          </w:rPr>
          <w:t>日</w:t>
        </w:r>
      </w:smartTag>
      <w:r>
        <w:rPr>
          <w:rFonts w:hint="eastAsia"/>
        </w:rPr>
        <w:t>发布“投资公司和投资顾问的合规程序”</w:t>
      </w:r>
    </w:p>
    <w:p w:rsidR="002B5145" w:rsidRDefault="002B5145" w:rsidP="002B5145">
      <w:pPr>
        <w:ind w:firstLineChars="200" w:firstLine="420"/>
      </w:pPr>
      <w:r>
        <w:rPr>
          <w:rFonts w:hint="eastAsia"/>
        </w:rPr>
        <w:t>要求在</w:t>
      </w:r>
      <w:r>
        <w:t>SEC</w:t>
      </w:r>
      <w:r>
        <w:rPr>
          <w:rFonts w:hint="eastAsia"/>
        </w:rPr>
        <w:t>注册的投资公司和投资顾问制定并实施旨在防止违反联邦证券法的政策与程序，每年审查执行这些政策的充分性和有效性，并任命一个督察长（</w:t>
      </w:r>
      <w:r>
        <w:t>Chief Compliance Officer</w:t>
      </w:r>
      <w:r>
        <w:rPr>
          <w:rFonts w:hint="eastAsia"/>
        </w:rPr>
        <w:t>）负责管理这些政策与程序。投资公司的督察长向董事会报告工作。这些规则目的在于保证投资公司和投资顾问的内部程序与联邦证券法相一致。</w:t>
      </w:r>
    </w:p>
    <w:p w:rsidR="002B5145" w:rsidRDefault="002B5145" w:rsidP="002B5145">
      <w:pPr>
        <w:ind w:firstLine="435"/>
      </w:pPr>
      <w:r>
        <w:rPr>
          <w:rFonts w:hint="eastAsia"/>
        </w:rPr>
        <w:t>督察长肩负重大责任，故要求具有丰富的知识，足够的资历（</w:t>
      </w:r>
      <w:r>
        <w:t>sufficient seniority</w:t>
      </w:r>
      <w:r>
        <w:rPr>
          <w:rFonts w:hint="eastAsia"/>
        </w:rPr>
        <w:t>）</w:t>
      </w:r>
      <w:r>
        <w:t>,</w:t>
      </w:r>
      <w:r>
        <w:rPr>
          <w:rFonts w:hint="eastAsia"/>
        </w:rPr>
        <w:t>并赋予充分的权限，从而胜任保证有关人员遵守合</w:t>
      </w:r>
      <w:proofErr w:type="gramStart"/>
      <w:r>
        <w:rPr>
          <w:rFonts w:hint="eastAsia"/>
        </w:rPr>
        <w:t>规</w:t>
      </w:r>
      <w:proofErr w:type="gramEnd"/>
      <w:r>
        <w:rPr>
          <w:rFonts w:hint="eastAsia"/>
        </w:rPr>
        <w:t>政策与程序的工作。</w:t>
      </w:r>
    </w:p>
    <w:p w:rsidR="002B5145" w:rsidRDefault="002B5145" w:rsidP="002B5145">
      <w:pPr>
        <w:ind w:firstLine="435"/>
      </w:pPr>
      <w:r>
        <w:rPr>
          <w:rFonts w:hint="eastAsia"/>
        </w:rPr>
        <w:t>督察长直接向董事会报告工作，每年必须向董事会书面报告基金及其服务提供</w:t>
      </w:r>
      <w:proofErr w:type="gramStart"/>
      <w:r>
        <w:rPr>
          <w:rFonts w:hint="eastAsia"/>
        </w:rPr>
        <w:t>商执行</w:t>
      </w:r>
      <w:r>
        <w:rPr>
          <w:rFonts w:hint="eastAsia"/>
        </w:rPr>
        <w:lastRenderedPageBreak/>
        <w:t>合规</w:t>
      </w:r>
      <w:proofErr w:type="gramEnd"/>
      <w:r>
        <w:rPr>
          <w:rFonts w:hint="eastAsia"/>
        </w:rPr>
        <w:t>政策与程序的情况。报告至少应包括：自</w:t>
      </w:r>
      <w:proofErr w:type="gramStart"/>
      <w:r>
        <w:rPr>
          <w:rFonts w:hint="eastAsia"/>
        </w:rPr>
        <w:t>上次报告</w:t>
      </w:r>
      <w:proofErr w:type="gramEnd"/>
      <w:r>
        <w:rPr>
          <w:rFonts w:hint="eastAsia"/>
        </w:rPr>
        <w:t>以来基金及其服务提供商的合</w:t>
      </w:r>
      <w:proofErr w:type="gramStart"/>
      <w:r>
        <w:rPr>
          <w:rFonts w:hint="eastAsia"/>
        </w:rPr>
        <w:t>规</w:t>
      </w:r>
      <w:proofErr w:type="gramEnd"/>
      <w:r>
        <w:rPr>
          <w:rFonts w:hint="eastAsia"/>
        </w:rPr>
        <w:t>情况；</w:t>
      </w:r>
      <w:proofErr w:type="gramStart"/>
      <w:r>
        <w:rPr>
          <w:rFonts w:hint="eastAsia"/>
        </w:rPr>
        <w:t>上次报告</w:t>
      </w:r>
      <w:proofErr w:type="gramEnd"/>
      <w:r>
        <w:rPr>
          <w:rFonts w:hint="eastAsia"/>
        </w:rPr>
        <w:t>以来有关合</w:t>
      </w:r>
      <w:proofErr w:type="gramStart"/>
      <w:r>
        <w:rPr>
          <w:rFonts w:hint="eastAsia"/>
        </w:rPr>
        <w:t>规</w:t>
      </w:r>
      <w:proofErr w:type="gramEnd"/>
      <w:r>
        <w:rPr>
          <w:rFonts w:hint="eastAsia"/>
        </w:rPr>
        <w:t>政策与程序的任何重大变化；根据年度审查对政策与程序的重要建议；</w:t>
      </w:r>
      <w:proofErr w:type="gramStart"/>
      <w:r>
        <w:rPr>
          <w:rFonts w:hint="eastAsia"/>
        </w:rPr>
        <w:t>上次报告</w:t>
      </w:r>
      <w:proofErr w:type="gramEnd"/>
      <w:r>
        <w:rPr>
          <w:rFonts w:hint="eastAsia"/>
        </w:rPr>
        <w:t>以来任何重大的合</w:t>
      </w:r>
      <w:proofErr w:type="gramStart"/>
      <w:r>
        <w:rPr>
          <w:rFonts w:hint="eastAsia"/>
        </w:rPr>
        <w:t>规</w:t>
      </w:r>
      <w:proofErr w:type="gramEnd"/>
      <w:r>
        <w:rPr>
          <w:rFonts w:hint="eastAsia"/>
        </w:rPr>
        <w:t>问题（</w:t>
      </w:r>
      <w:r>
        <w:t>material compliance matter</w:t>
      </w:r>
      <w:r>
        <w:rPr>
          <w:rFonts w:hint="eastAsia"/>
        </w:rPr>
        <w:t>）。</w:t>
      </w:r>
    </w:p>
    <w:p w:rsidR="002B5145" w:rsidRDefault="002B5145" w:rsidP="002B5145">
      <w:pPr>
        <w:ind w:firstLineChars="257" w:firstLine="540"/>
      </w:pPr>
      <w:r>
        <w:rPr>
          <w:rFonts w:hint="eastAsia"/>
        </w:rPr>
        <w:t>规则要求督察</w:t>
      </w:r>
      <w:proofErr w:type="gramStart"/>
      <w:r>
        <w:rPr>
          <w:rFonts w:hint="eastAsia"/>
        </w:rPr>
        <w:t>长每年</w:t>
      </w:r>
      <w:proofErr w:type="gramEnd"/>
      <w:r>
        <w:rPr>
          <w:rFonts w:hint="eastAsia"/>
        </w:rPr>
        <w:t>至少应与独立董事举行一次单独会议，以自由地讨论任何合</w:t>
      </w:r>
      <w:proofErr w:type="gramStart"/>
      <w:r>
        <w:rPr>
          <w:rFonts w:hint="eastAsia"/>
        </w:rPr>
        <w:t>规</w:t>
      </w:r>
      <w:proofErr w:type="gramEnd"/>
      <w:r>
        <w:rPr>
          <w:rFonts w:hint="eastAsia"/>
        </w:rPr>
        <w:t>方面的问题。为保证督察长的工作不受不当影响，严禁基金的高管人员、董事、员工及顾问、主承销商等以直接或间接方式，胁迫、操纵、误导或欺骗督察长，从而影响督察</w:t>
      </w:r>
      <w:proofErr w:type="gramStart"/>
      <w:r>
        <w:rPr>
          <w:rFonts w:hint="eastAsia"/>
        </w:rPr>
        <w:t>长履行</w:t>
      </w:r>
      <w:proofErr w:type="gramEnd"/>
      <w:r>
        <w:rPr>
          <w:rFonts w:hint="eastAsia"/>
        </w:rPr>
        <w:t>其职能。</w:t>
      </w:r>
    </w:p>
    <w:p w:rsidR="002B5145" w:rsidRDefault="002B5145" w:rsidP="002B5145">
      <w:pPr>
        <w:ind w:firstLine="435"/>
      </w:pPr>
      <w:r>
        <w:rPr>
          <w:rFonts w:hint="eastAsia"/>
        </w:rPr>
        <w:t>二、</w:t>
      </w:r>
      <w:smartTag w:uri="urn:schemas-microsoft-com:office:smarttags" w:element="chsdate">
        <w:smartTagPr>
          <w:attr w:name="IsROCDate" w:val="False"/>
          <w:attr w:name="IsLunarDate" w:val="False"/>
          <w:attr w:name="Day" w:val="27"/>
          <w:attr w:name="Month" w:val="2"/>
          <w:attr w:name="Year" w:val="2004"/>
        </w:smartTagPr>
        <w:r>
          <w:t>2004</w:t>
        </w:r>
        <w:r>
          <w:rPr>
            <w:rFonts w:hint="eastAsia"/>
          </w:rPr>
          <w:t>年</w:t>
        </w:r>
        <w:r>
          <w:t>2</w:t>
        </w:r>
        <w:r>
          <w:rPr>
            <w:rFonts w:hint="eastAsia"/>
          </w:rPr>
          <w:t>月</w:t>
        </w:r>
        <w:r>
          <w:t>27</w:t>
        </w:r>
        <w:r>
          <w:rPr>
            <w:rFonts w:hint="eastAsia"/>
          </w:rPr>
          <w:t>日</w:t>
        </w:r>
      </w:smartTag>
      <w:r>
        <w:rPr>
          <w:rFonts w:hint="eastAsia"/>
        </w:rPr>
        <w:t>发布“已注册基金管理公司的股东报告和季度投资组合披露要求”</w:t>
      </w:r>
    </w:p>
    <w:p w:rsidR="002B5145" w:rsidRDefault="002B5145" w:rsidP="002B5145">
      <w:pPr>
        <w:ind w:firstLine="435"/>
      </w:pPr>
      <w:r>
        <w:rPr>
          <w:rFonts w:hint="eastAsia"/>
        </w:rPr>
        <w:t>要求已注册的基金公司在其股东报告中披露报告期的基金费用情况、简要的投资组合表、每季度按</w:t>
      </w:r>
      <w:r>
        <w:t>SEC</w:t>
      </w:r>
      <w:r>
        <w:rPr>
          <w:rFonts w:hint="eastAsia"/>
        </w:rPr>
        <w:t>要求的格式披露经公司总裁和财务主管确认的完整的投资组合情况以及在给股东的年报中披露其管理层对基金表现的评价。</w:t>
      </w:r>
    </w:p>
    <w:p w:rsidR="002B5145" w:rsidRDefault="002B5145" w:rsidP="002B5145">
      <w:pPr>
        <w:ind w:firstLineChars="200" w:firstLine="420"/>
      </w:pPr>
      <w:r>
        <w:rPr>
          <w:rFonts w:hint="eastAsia"/>
        </w:rPr>
        <w:t>三、</w:t>
      </w:r>
      <w:smartTag w:uri="urn:schemas-microsoft-com:office:smarttags" w:element="chsdate">
        <w:smartTagPr>
          <w:attr w:name="IsROCDate" w:val="False"/>
          <w:attr w:name="IsLunarDate" w:val="False"/>
          <w:attr w:name="Day" w:val="19"/>
          <w:attr w:name="Month" w:val="4"/>
          <w:attr w:name="Year" w:val="2004"/>
        </w:smartTagPr>
        <w:r>
          <w:t>2004</w:t>
        </w:r>
        <w:r>
          <w:rPr>
            <w:rFonts w:hint="eastAsia"/>
          </w:rPr>
          <w:t>年</w:t>
        </w:r>
        <w:r>
          <w:t>4</w:t>
        </w:r>
        <w:r>
          <w:rPr>
            <w:rFonts w:hint="eastAsia"/>
          </w:rPr>
          <w:t>月</w:t>
        </w:r>
        <w:r>
          <w:t>19</w:t>
        </w:r>
        <w:r>
          <w:rPr>
            <w:rFonts w:hint="eastAsia"/>
          </w:rPr>
          <w:t>日</w:t>
        </w:r>
      </w:smartTag>
      <w:r>
        <w:rPr>
          <w:rFonts w:hint="eastAsia"/>
        </w:rPr>
        <w:t>发布“关于择时交易和选择性披露投资组合的信息披露要求”</w:t>
      </w:r>
      <w:r>
        <w:t xml:space="preserve"> </w:t>
      </w:r>
    </w:p>
    <w:p w:rsidR="002B5145" w:rsidRDefault="002B5145" w:rsidP="002B5145">
      <w:pPr>
        <w:ind w:firstLineChars="200" w:firstLine="420"/>
      </w:pPr>
      <w:r>
        <w:t>1</w:t>
      </w:r>
      <w:r>
        <w:rPr>
          <w:rFonts w:hint="eastAsia"/>
        </w:rPr>
        <w:t>．关于择时交易的信息披露要求。</w:t>
      </w:r>
    </w:p>
    <w:p w:rsidR="002B5145" w:rsidRDefault="002B5145" w:rsidP="002B5145">
      <w:pPr>
        <w:ind w:firstLine="435"/>
      </w:pPr>
      <w:r>
        <w:rPr>
          <w:rFonts w:hint="eastAsia"/>
        </w:rPr>
        <w:t>基金应在招募说明书中说明频繁地申购赎回基金份额给其他投资者带来的风险，陈述其董事会针对频繁的申购赎回确定的相应的政策和程序，并解释在特定情况下的定价方法及因此带来的影响。</w:t>
      </w:r>
    </w:p>
    <w:p w:rsidR="002B5145" w:rsidRDefault="002B5145" w:rsidP="002B5145">
      <w:pPr>
        <w:ind w:firstLine="435"/>
      </w:pPr>
      <w:r>
        <w:rPr>
          <w:rFonts w:hint="eastAsia"/>
        </w:rPr>
        <w:t>阻止频繁交易的方法，可以考虑：在一定时期内限制交易的数量或次数；收取较高的转换或赎回费用；规定基金转换的最短期限；拒绝、限制、延迟某些交易或附加其他条件。行业目前普遍的有效做法是对频繁交易者收取</w:t>
      </w:r>
      <w:r>
        <w:t>2</w:t>
      </w:r>
      <w:r>
        <w:rPr>
          <w:rFonts w:hint="eastAsia"/>
        </w:rPr>
        <w:t>％的赎回费，该方法也为</w:t>
      </w:r>
      <w:r>
        <w:t>SEC</w:t>
      </w:r>
      <w:r>
        <w:rPr>
          <w:rFonts w:hint="eastAsia"/>
        </w:rPr>
        <w:t>所推荐。</w:t>
      </w:r>
    </w:p>
    <w:p w:rsidR="002B5145" w:rsidRDefault="002B5145" w:rsidP="002B5145">
      <w:pPr>
        <w:ind w:firstLine="435"/>
      </w:pPr>
      <w:r>
        <w:rPr>
          <w:rFonts w:hint="eastAsia"/>
        </w:rPr>
        <w:t>基金应说明这些方法是普遍适用还是有例外情形；如有例外情形，要说明该情形的具体情况。</w:t>
      </w:r>
    </w:p>
    <w:p w:rsidR="002B5145" w:rsidRDefault="002B5145" w:rsidP="002B5145">
      <w:pPr>
        <w:ind w:firstLine="435"/>
      </w:pPr>
      <w:r>
        <w:rPr>
          <w:rFonts w:hint="eastAsia"/>
        </w:rPr>
        <w:t>允许频繁交易的，要说明交易者的身份，并说明该交易者如何对基金进行补偿。允许频繁交易的前提，是不得违反证券法关于反欺诈规定以及投资顾问的受托义务。</w:t>
      </w:r>
    </w:p>
    <w:p w:rsidR="002B5145" w:rsidRDefault="002B5145" w:rsidP="002B5145">
      <w:pPr>
        <w:ind w:firstLineChars="200" w:firstLine="420"/>
      </w:pPr>
      <w:r>
        <w:t>2</w:t>
      </w:r>
      <w:r>
        <w:rPr>
          <w:rFonts w:hint="eastAsia"/>
        </w:rPr>
        <w:t>．关于选择性披露投资组合的信息披露要求。</w:t>
      </w:r>
    </w:p>
    <w:p w:rsidR="002B5145" w:rsidRDefault="002B5145" w:rsidP="002B5145">
      <w:pPr>
        <w:ind w:firstLine="435"/>
      </w:pPr>
      <w:r>
        <w:rPr>
          <w:rFonts w:hint="eastAsia"/>
        </w:rPr>
        <w:t>一般的规定是基金应在其招募说明书、简明招募说明书及网站说明其投资组合的披露政策与程序。此次修改要求增加说明：</w:t>
      </w:r>
    </w:p>
    <w:p w:rsidR="002B5145" w:rsidRDefault="002B5145" w:rsidP="002B5145">
      <w:pPr>
        <w:ind w:firstLine="435"/>
      </w:pPr>
      <w:r>
        <w:rPr>
          <w:rFonts w:hint="eastAsia"/>
        </w:rPr>
        <w:t>（</w:t>
      </w:r>
      <w:r>
        <w:t>1</w:t>
      </w:r>
      <w:r>
        <w:rPr>
          <w:rFonts w:hint="eastAsia"/>
        </w:rPr>
        <w:t>）这些政策和程序如何在对不同类型的人（如个人投资者、机构投资者、销售中介、第三</w:t>
      </w:r>
      <w:proofErr w:type="gramStart"/>
      <w:r>
        <w:rPr>
          <w:rFonts w:hint="eastAsia"/>
        </w:rPr>
        <w:t>方服务</w:t>
      </w:r>
      <w:proofErr w:type="gramEnd"/>
      <w:r>
        <w:rPr>
          <w:rFonts w:hint="eastAsia"/>
        </w:rPr>
        <w:t>提供者、评级或评估机构、基金的附属人员等）之间适用。</w:t>
      </w:r>
    </w:p>
    <w:p w:rsidR="002B5145" w:rsidRDefault="002B5145" w:rsidP="002B5145">
      <w:pPr>
        <w:ind w:firstLine="435"/>
      </w:pPr>
      <w:r>
        <w:rPr>
          <w:rFonts w:hint="eastAsia"/>
        </w:rPr>
        <w:t>（</w:t>
      </w:r>
      <w:r>
        <w:t>2</w:t>
      </w:r>
      <w:r>
        <w:rPr>
          <w:rFonts w:hint="eastAsia"/>
        </w:rPr>
        <w:t>）对使用所披露组合证券信息的条件或限制，包括信息保密的要求、对使用信息进行交易的禁止，以及监控使用信息的程序。</w:t>
      </w:r>
    </w:p>
    <w:p w:rsidR="002B5145" w:rsidRDefault="002B5145" w:rsidP="002B5145">
      <w:pPr>
        <w:ind w:firstLine="435"/>
      </w:pPr>
      <w:r>
        <w:rPr>
          <w:rFonts w:hint="eastAsia"/>
        </w:rPr>
        <w:t>（</w:t>
      </w:r>
      <w:r>
        <w:t>3</w:t>
      </w:r>
      <w:r>
        <w:rPr>
          <w:rFonts w:hint="eastAsia"/>
        </w:rPr>
        <w:t>）披露投资组合信息的频率，以及信息发生及披露的时间间隔。</w:t>
      </w:r>
    </w:p>
    <w:p w:rsidR="002B5145" w:rsidRDefault="002B5145" w:rsidP="002B5145">
      <w:pPr>
        <w:ind w:firstLine="435"/>
      </w:pPr>
      <w:r>
        <w:rPr>
          <w:rFonts w:hint="eastAsia"/>
        </w:rPr>
        <w:t>（</w:t>
      </w:r>
      <w:r>
        <w:t>4</w:t>
      </w:r>
      <w:r>
        <w:rPr>
          <w:rFonts w:hint="eastAsia"/>
        </w:rPr>
        <w:t>）关于披露投资组合信息所收取的补偿或对价的政策与程序。</w:t>
      </w:r>
    </w:p>
    <w:p w:rsidR="002B5145" w:rsidRDefault="002B5145" w:rsidP="002B5145">
      <w:pPr>
        <w:ind w:firstLine="435"/>
      </w:pPr>
      <w:r>
        <w:rPr>
          <w:rFonts w:hint="eastAsia"/>
        </w:rPr>
        <w:t>（</w:t>
      </w:r>
      <w:r>
        <w:t>5</w:t>
      </w:r>
      <w:r>
        <w:rPr>
          <w:rFonts w:hint="eastAsia"/>
        </w:rPr>
        <w:t>）有权授权披露投资组合的人员。</w:t>
      </w:r>
    </w:p>
    <w:p w:rsidR="002B5145" w:rsidRDefault="002B5145" w:rsidP="002B5145">
      <w:pPr>
        <w:ind w:firstLine="435"/>
      </w:pPr>
      <w:r>
        <w:rPr>
          <w:rFonts w:hint="eastAsia"/>
        </w:rPr>
        <w:t>（</w:t>
      </w:r>
      <w:r>
        <w:t>6</w:t>
      </w:r>
      <w:r>
        <w:rPr>
          <w:rFonts w:hint="eastAsia"/>
        </w:rPr>
        <w:t>）保证披露投资组合信息有利于基金投资者利益的程序，包括如何处理基金投资者与投资顾问等有关当事人利益冲突的程序。</w:t>
      </w:r>
    </w:p>
    <w:p w:rsidR="002B5145" w:rsidRDefault="002B5145" w:rsidP="002B5145">
      <w:pPr>
        <w:ind w:firstLine="435"/>
      </w:pPr>
      <w:r>
        <w:rPr>
          <w:rFonts w:hint="eastAsia"/>
        </w:rPr>
        <w:t>（</w:t>
      </w:r>
      <w:r>
        <w:t>7</w:t>
      </w:r>
      <w:r>
        <w:rPr>
          <w:rFonts w:hint="eastAsia"/>
        </w:rPr>
        <w:t>）基金董事会监控基金投资组合披露的方法。</w:t>
      </w:r>
    </w:p>
    <w:p w:rsidR="002B5145" w:rsidRDefault="002B5145" w:rsidP="002B5145">
      <w:pPr>
        <w:ind w:firstLineChars="200" w:firstLine="420"/>
      </w:pPr>
      <w:r>
        <w:rPr>
          <w:rFonts w:hint="eastAsia"/>
        </w:rPr>
        <w:t>根据新的规则，选择性披露投资组合，要事先有相关的政策与程序，不违反法律及受托义务，并得到补偿。某些情况下，选择性披露投资组合，属于正常的业务，如基金评级的需要，基金资产分包给其他投资顾问，更换基金管理人，基金合并等，这叫做具有合法的业务目的的选择性披露，但获取信息方人员有保密义务。</w:t>
      </w:r>
    </w:p>
    <w:p w:rsidR="002B5145" w:rsidRDefault="002B5145" w:rsidP="002B5145">
      <w:pPr>
        <w:ind w:firstLineChars="200" w:firstLine="420"/>
      </w:pPr>
      <w:r>
        <w:rPr>
          <w:rFonts w:hint="eastAsia"/>
        </w:rPr>
        <w:t>四、</w:t>
      </w:r>
      <w:smartTag w:uri="urn:schemas-microsoft-com:office:smarttags" w:element="chsdate">
        <w:smartTagPr>
          <w:attr w:name="IsROCDate" w:val="False"/>
          <w:attr w:name="IsLunarDate" w:val="False"/>
          <w:attr w:name="Day" w:val="23"/>
          <w:attr w:name="Month" w:val="6"/>
          <w:attr w:name="Year" w:val="2004"/>
        </w:smartTagPr>
        <w:r>
          <w:t>2004</w:t>
        </w:r>
        <w:r>
          <w:rPr>
            <w:rFonts w:hint="eastAsia"/>
          </w:rPr>
          <w:t>年</w:t>
        </w:r>
        <w:r>
          <w:t>6</w:t>
        </w:r>
        <w:r>
          <w:rPr>
            <w:rFonts w:hint="eastAsia"/>
          </w:rPr>
          <w:t>月</w:t>
        </w:r>
        <w:r>
          <w:t>23</w:t>
        </w:r>
        <w:r>
          <w:rPr>
            <w:rFonts w:hint="eastAsia"/>
          </w:rPr>
          <w:t>日</w:t>
        </w:r>
      </w:smartTag>
      <w:r>
        <w:rPr>
          <w:rFonts w:hint="eastAsia"/>
        </w:rPr>
        <w:t>发布“关于投资公司董事会同意投资顾问合同的披露要求以及加强公司治理的规则”</w:t>
      </w:r>
    </w:p>
    <w:p w:rsidR="002B5145" w:rsidRDefault="002B5145" w:rsidP="002B5145">
      <w:pPr>
        <w:ind w:firstLineChars="200" w:firstLine="420"/>
      </w:pPr>
      <w:r>
        <w:t xml:space="preserve"> 1</w:t>
      </w:r>
      <w:r>
        <w:rPr>
          <w:rFonts w:hint="eastAsia"/>
        </w:rPr>
        <w:t>．关于基金公司董事会通过投资顾问合同的披露要求。</w:t>
      </w:r>
    </w:p>
    <w:p w:rsidR="002B5145" w:rsidRDefault="002B5145" w:rsidP="002B5145">
      <w:pPr>
        <w:spacing w:beforeLines="20" w:before="62" w:afterLines="20" w:after="62"/>
        <w:ind w:firstLine="435"/>
        <w:rPr>
          <w:rFonts w:ascii="宋体" w:hAnsi="宋体"/>
        </w:rPr>
      </w:pPr>
      <w:r>
        <w:rPr>
          <w:rFonts w:ascii="宋体" w:hAnsi="宋体" w:hint="eastAsia"/>
        </w:rPr>
        <w:lastRenderedPageBreak/>
        <w:t>新的规则旨在改进基金及其投资顾问关于投资顾问合同的信息披露，向投资者提供基金董事会通过合同的理由。规则鼓励基金董事会更加认真地考虑影响合同的因素，以使投资者可以更加充分地评估其所付出的费用和得到的服务的匹配。与现有规则相比，新规则在以下方面得到加强：</w:t>
      </w:r>
    </w:p>
    <w:p w:rsidR="002B5145" w:rsidRDefault="002B5145" w:rsidP="002B5145">
      <w:pPr>
        <w:spacing w:beforeLines="20" w:before="62" w:afterLines="20" w:after="62"/>
        <w:ind w:left="435"/>
        <w:rPr>
          <w:rFonts w:ascii="宋体" w:hAnsi="宋体" w:hint="eastAsia"/>
        </w:rPr>
      </w:pPr>
      <w:r>
        <w:rPr>
          <w:rFonts w:ascii="宋体" w:hAnsi="宋体" w:hint="eastAsia"/>
        </w:rPr>
        <w:t>（1）要求必须披露选择投资顾问的理由及确定投资顾问费的原因。</w:t>
      </w:r>
    </w:p>
    <w:p w:rsidR="002B5145" w:rsidRDefault="002B5145" w:rsidP="002B5145">
      <w:pPr>
        <w:tabs>
          <w:tab w:val="num" w:pos="1136"/>
        </w:tabs>
        <w:spacing w:beforeLines="20" w:before="62" w:afterLines="20" w:after="62"/>
        <w:ind w:firstLineChars="200" w:firstLine="420"/>
        <w:rPr>
          <w:rFonts w:ascii="宋体" w:hAnsi="宋体" w:hint="eastAsia"/>
        </w:rPr>
      </w:pPr>
      <w:r>
        <w:rPr>
          <w:rFonts w:ascii="宋体" w:hAnsi="宋体" w:hint="eastAsia"/>
        </w:rPr>
        <w:t>（2）披露以下的具体因素：①、投资顾问提供服务的性质、程度、质量；②、基金及投资顾问的业绩；③、投资顾问提供服务的成本与收益；④、随着基金规模的增加所实现的规模经济；⑤、费用水平是否反映了规模经济给投资者带来的好处。</w:t>
      </w:r>
    </w:p>
    <w:p w:rsidR="002B5145" w:rsidRDefault="002B5145" w:rsidP="002B5145">
      <w:pPr>
        <w:tabs>
          <w:tab w:val="num" w:pos="1136"/>
        </w:tabs>
        <w:spacing w:beforeLines="20" w:before="62" w:afterLines="20" w:after="62"/>
        <w:ind w:firstLineChars="200" w:firstLine="420"/>
        <w:rPr>
          <w:rFonts w:ascii="宋体" w:hAnsi="宋体" w:hint="eastAsia"/>
        </w:rPr>
      </w:pPr>
      <w:r>
        <w:rPr>
          <w:rFonts w:ascii="宋体" w:hAnsi="宋体" w:hint="eastAsia"/>
        </w:rPr>
        <w:t>（3）对投资顾问所收取的费用和提供的服务进行比较，即要求董事会将这些费用和服务与同一投资顾问管理的其他基金以及其他投资顾问管理的其他基金进行对比，从而看出费用与服务的竞争力。</w:t>
      </w:r>
    </w:p>
    <w:p w:rsidR="002B5145" w:rsidRDefault="002B5145" w:rsidP="002B5145">
      <w:pPr>
        <w:ind w:firstLineChars="200" w:firstLine="420"/>
        <w:rPr>
          <w:rFonts w:ascii="宋体" w:hAnsi="宋体" w:hint="eastAsia"/>
        </w:rPr>
      </w:pPr>
      <w:r>
        <w:rPr>
          <w:rFonts w:ascii="宋体" w:hAnsi="宋体" w:hint="eastAsia"/>
        </w:rPr>
        <w:t>2．关于加强基金治理的规则。</w:t>
      </w:r>
    </w:p>
    <w:p w:rsidR="002B5145" w:rsidRDefault="002B5145" w:rsidP="002B5145">
      <w:pPr>
        <w:spacing w:beforeLines="20" w:before="62" w:afterLines="20" w:after="62"/>
        <w:ind w:firstLine="435"/>
        <w:rPr>
          <w:rFonts w:ascii="宋体" w:hAnsi="宋体" w:hint="eastAsia"/>
        </w:rPr>
      </w:pPr>
      <w:r>
        <w:rPr>
          <w:rFonts w:ascii="宋体" w:hAnsi="宋体" w:hint="eastAsia"/>
        </w:rPr>
        <w:t>新规则旨在加强董事会的独立性和有效性，强化其保护投资者利益的能力，主要体现在更加充分地发挥独立董事的作用上：</w:t>
      </w:r>
    </w:p>
    <w:p w:rsidR="002B5145" w:rsidRDefault="002B5145" w:rsidP="002B5145">
      <w:pPr>
        <w:spacing w:beforeLines="20" w:before="62" w:afterLines="20" w:after="62"/>
        <w:ind w:firstLine="435"/>
        <w:rPr>
          <w:rFonts w:ascii="宋体" w:hAnsi="宋体" w:hint="eastAsia"/>
        </w:rPr>
      </w:pPr>
      <w:r>
        <w:rPr>
          <w:rFonts w:ascii="宋体" w:hAnsi="宋体" w:hint="eastAsia"/>
        </w:rPr>
        <w:t>（1）董事会组成的独立性。要求独立董事在董事会中的比例达到75%。此要求可增加独立董事在谈判基金管理费以及其他重要问题的能力。</w:t>
      </w:r>
    </w:p>
    <w:p w:rsidR="002B5145" w:rsidRDefault="002B5145" w:rsidP="002B5145">
      <w:pPr>
        <w:spacing w:beforeLines="20" w:before="62" w:afterLines="20" w:after="62"/>
        <w:ind w:firstLine="435"/>
        <w:rPr>
          <w:rFonts w:ascii="宋体" w:hAnsi="宋体" w:hint="eastAsia"/>
        </w:rPr>
      </w:pPr>
      <w:r>
        <w:rPr>
          <w:rFonts w:ascii="宋体" w:hAnsi="宋体" w:hint="eastAsia"/>
        </w:rPr>
        <w:t>（2）由独立董事担任董事会席。因为董事长可以控制董事会的议程，并对董事会决策有重要影响，故由独立董事担任董事会主席。</w:t>
      </w:r>
    </w:p>
    <w:p w:rsidR="002B5145" w:rsidRDefault="002B5145" w:rsidP="002B5145">
      <w:pPr>
        <w:spacing w:beforeLines="20" w:before="62" w:afterLines="20" w:after="62"/>
        <w:ind w:firstLine="435"/>
        <w:rPr>
          <w:rFonts w:ascii="宋体" w:hAnsi="宋体" w:hint="eastAsia"/>
        </w:rPr>
      </w:pPr>
      <w:r>
        <w:rPr>
          <w:rFonts w:ascii="宋体" w:hAnsi="宋体" w:hint="eastAsia"/>
        </w:rPr>
        <w:t>（3）每年进行一次自我评估。要求董事会至少一年一次评估其运作的有效性。评估还包括董事会委员会的构成以及董事所任职的基金的只数。</w:t>
      </w:r>
    </w:p>
    <w:p w:rsidR="002B5145" w:rsidRDefault="002B5145" w:rsidP="002B5145">
      <w:pPr>
        <w:spacing w:beforeLines="20" w:before="62" w:afterLines="20" w:after="62"/>
        <w:ind w:firstLine="435"/>
        <w:rPr>
          <w:rFonts w:ascii="宋体" w:hAnsi="宋体" w:hint="eastAsia"/>
        </w:rPr>
      </w:pPr>
      <w:r>
        <w:rPr>
          <w:rFonts w:ascii="宋体" w:hAnsi="宋体" w:hint="eastAsia"/>
        </w:rPr>
        <w:t>（4）独立董事的单独会议。要求独立董事至少每季度举行一次单独的会议。这可以给独立董事提供坦率地讨论基金管理业绩的机会，有助于增进共同了解。</w:t>
      </w:r>
    </w:p>
    <w:p w:rsidR="002B5145" w:rsidRDefault="002B5145" w:rsidP="002B5145">
      <w:pPr>
        <w:ind w:firstLineChars="200" w:firstLine="420"/>
        <w:rPr>
          <w:rFonts w:ascii="宋体" w:hAnsi="宋体" w:hint="eastAsia"/>
        </w:rPr>
      </w:pPr>
      <w:r>
        <w:rPr>
          <w:rFonts w:ascii="宋体" w:hAnsi="宋体" w:hint="eastAsia"/>
        </w:rPr>
        <w:t>（5）独立董事的雇员。授权独立董事可雇佣自己的雇员。这可以帮助独立董事处理那些需要外部帮助的问题。</w:t>
      </w:r>
    </w:p>
    <w:p w:rsidR="002B5145" w:rsidRDefault="002B5145" w:rsidP="002B5145">
      <w:pPr>
        <w:ind w:firstLineChars="200" w:firstLine="420"/>
        <w:rPr>
          <w:rFonts w:ascii="宋体" w:hAnsi="宋体" w:hint="eastAsia"/>
          <w:szCs w:val="21"/>
        </w:rPr>
      </w:pPr>
      <w:r>
        <w:rPr>
          <w:rFonts w:ascii="宋体" w:hAnsi="宋体" w:hint="eastAsia"/>
          <w:szCs w:val="21"/>
        </w:rPr>
        <w:t>在加强基金治理方面，SEC并未听取ICI的建议，可见SEC为加强行业监管，保护投资者利益，用心良苦。</w:t>
      </w:r>
    </w:p>
    <w:p w:rsidR="002B5145" w:rsidRDefault="002B5145" w:rsidP="002B5145">
      <w:pPr>
        <w:ind w:firstLineChars="200" w:firstLine="420"/>
        <w:rPr>
          <w:rFonts w:ascii="宋体" w:hAnsi="宋体" w:hint="eastAsia"/>
        </w:rPr>
      </w:pPr>
      <w:r>
        <w:rPr>
          <w:rFonts w:ascii="宋体" w:hAnsi="宋体" w:hint="eastAsia"/>
        </w:rPr>
        <w:t>五、</w:t>
      </w:r>
      <w:smartTag w:uri="urn:schemas-microsoft-com:office:smarttags" w:element="chsdate">
        <w:smartTagPr>
          <w:attr w:name="IsROCDate" w:val="False"/>
          <w:attr w:name="IsLunarDate" w:val="False"/>
          <w:attr w:name="Day" w:val="26"/>
          <w:attr w:name="Month" w:val="5"/>
          <w:attr w:name="Year" w:val="2004"/>
        </w:smartTagPr>
        <w:r>
          <w:rPr>
            <w:rFonts w:ascii="宋体" w:hAnsi="宋体" w:hint="eastAsia"/>
          </w:rPr>
          <w:t>2004年5月26日</w:t>
        </w:r>
      </w:smartTag>
      <w:r>
        <w:rPr>
          <w:rFonts w:ascii="宋体" w:hAnsi="宋体" w:hint="eastAsia"/>
        </w:rPr>
        <w:t xml:space="preserve">通过“转折点披露规则以及投资顾问行为守则” </w:t>
      </w:r>
    </w:p>
    <w:p w:rsidR="002B5145" w:rsidRDefault="002B5145" w:rsidP="002B5145">
      <w:pPr>
        <w:ind w:firstLineChars="200" w:firstLine="420"/>
        <w:rPr>
          <w:rFonts w:ascii="宋体" w:hAnsi="宋体" w:hint="eastAsia"/>
        </w:rPr>
      </w:pPr>
      <w:r>
        <w:rPr>
          <w:rFonts w:ascii="宋体" w:hAnsi="宋体" w:hint="eastAsia"/>
        </w:rPr>
        <w:t>1．加强对共同基金转折点折扣的披露。</w:t>
      </w:r>
    </w:p>
    <w:p w:rsidR="002B5145" w:rsidRDefault="002B5145" w:rsidP="002B5145">
      <w:pPr>
        <w:spacing w:beforeLines="20" w:before="62" w:afterLines="20" w:after="62"/>
        <w:ind w:firstLine="480"/>
        <w:rPr>
          <w:rFonts w:ascii="宋体" w:hAnsi="宋体" w:hint="eastAsia"/>
        </w:rPr>
      </w:pPr>
      <w:r>
        <w:rPr>
          <w:rFonts w:ascii="宋体" w:hAnsi="宋体" w:hint="eastAsia"/>
        </w:rPr>
        <w:t>一些前端收费的基金规定投资者的资金达到一定的规模，费用就可以打折。规模起点称为转折点（breakpoint）。由于以前披露不充分，许多投资者没有享受打折的好处。</w:t>
      </w:r>
    </w:p>
    <w:p w:rsidR="002B5145" w:rsidRDefault="002B5145" w:rsidP="002B5145">
      <w:pPr>
        <w:spacing w:beforeLines="20" w:before="62" w:afterLines="20" w:after="62"/>
        <w:ind w:firstLine="480"/>
        <w:rPr>
          <w:rFonts w:ascii="宋体" w:hAnsi="宋体" w:hint="eastAsia"/>
        </w:rPr>
      </w:pPr>
      <w:r>
        <w:rPr>
          <w:rFonts w:ascii="宋体" w:hAnsi="宋体" w:hint="eastAsia"/>
        </w:rPr>
        <w:t>新的规则要求加强对转折点折扣的披露，以帮助投资者了解打折的机会。规则要求：</w:t>
      </w:r>
    </w:p>
    <w:p w:rsidR="002B5145" w:rsidRDefault="002B5145" w:rsidP="002B5145">
      <w:pPr>
        <w:spacing w:beforeLines="20" w:before="62" w:afterLines="20" w:after="62"/>
        <w:ind w:firstLine="480"/>
        <w:rPr>
          <w:rFonts w:ascii="宋体" w:hAnsi="宋体" w:hint="eastAsia"/>
        </w:rPr>
      </w:pPr>
      <w:r>
        <w:rPr>
          <w:rFonts w:ascii="宋体" w:hAnsi="宋体" w:hint="eastAsia"/>
        </w:rPr>
        <w:t>（1）基金在招募说明书中简单描述达到转折点的安排，包括一个合格要件的概述，并在简明招募说明书中提供更详细的信息；</w:t>
      </w:r>
    </w:p>
    <w:p w:rsidR="002B5145" w:rsidRDefault="002B5145" w:rsidP="002B5145">
      <w:pPr>
        <w:spacing w:beforeLines="20" w:before="62" w:afterLines="20" w:after="62"/>
        <w:ind w:firstLine="480"/>
        <w:rPr>
          <w:rFonts w:ascii="宋体" w:hAnsi="宋体" w:hint="eastAsia"/>
        </w:rPr>
      </w:pPr>
      <w:r>
        <w:rPr>
          <w:rFonts w:ascii="宋体" w:hAnsi="宋体" w:hint="eastAsia"/>
        </w:rPr>
        <w:t>（2）基金在招募说明书中描述用于对账户进行估价的方法，以确定持有人是否达到转折点要求；</w:t>
      </w:r>
    </w:p>
    <w:p w:rsidR="002B5145" w:rsidRDefault="002B5145" w:rsidP="002B5145">
      <w:pPr>
        <w:spacing w:beforeLines="20" w:before="62" w:afterLines="20" w:after="62"/>
        <w:ind w:firstLine="480"/>
        <w:rPr>
          <w:rFonts w:ascii="宋体" w:hAnsi="宋体" w:hint="eastAsia"/>
        </w:rPr>
      </w:pPr>
      <w:r>
        <w:rPr>
          <w:rFonts w:ascii="宋体" w:hAnsi="宋体" w:hint="eastAsia"/>
        </w:rPr>
        <w:t>（3）如可能，基金应在招募说明书中解释，持有人为了获取转折点折扣，应向基金或金融中介提供哪些信息和资料。</w:t>
      </w:r>
    </w:p>
    <w:p w:rsidR="002B5145" w:rsidRDefault="002B5145" w:rsidP="002B5145">
      <w:pPr>
        <w:ind w:firstLineChars="200" w:firstLine="420"/>
        <w:rPr>
          <w:rFonts w:ascii="宋体" w:hAnsi="宋体" w:hint="eastAsia"/>
        </w:rPr>
      </w:pPr>
      <w:r>
        <w:rPr>
          <w:rFonts w:ascii="宋体" w:hAnsi="宋体" w:hint="eastAsia"/>
        </w:rPr>
        <w:t>2．投资顾问的行为准则。</w:t>
      </w:r>
    </w:p>
    <w:p w:rsidR="002B5145" w:rsidRDefault="002B5145" w:rsidP="002B5145">
      <w:pPr>
        <w:spacing w:beforeLines="20" w:before="62" w:afterLines="20" w:after="62"/>
        <w:ind w:firstLineChars="200" w:firstLine="420"/>
        <w:rPr>
          <w:rFonts w:ascii="宋体" w:hAnsi="宋体" w:hint="eastAsia"/>
        </w:rPr>
      </w:pPr>
      <w:r>
        <w:rPr>
          <w:rFonts w:ascii="宋体" w:hAnsi="宋体" w:hint="eastAsia"/>
        </w:rPr>
        <w:t>新的规则旨在通过强化受托原则来防止欺诈。投资顾问的行为准则至少应包括以下内容：</w:t>
      </w:r>
    </w:p>
    <w:p w:rsidR="002B5145" w:rsidRDefault="002B5145" w:rsidP="002B5145">
      <w:pPr>
        <w:spacing w:beforeLines="20" w:before="62" w:afterLines="20" w:after="62"/>
        <w:ind w:firstLineChars="200" w:firstLine="420"/>
        <w:rPr>
          <w:rFonts w:ascii="宋体" w:hAnsi="宋体" w:hint="eastAsia"/>
        </w:rPr>
      </w:pPr>
      <w:r>
        <w:rPr>
          <w:rFonts w:ascii="宋体" w:hAnsi="宋体" w:hint="eastAsia"/>
        </w:rPr>
        <w:t>（1）业务行为标准。要求确立投资顾问受监督人员应遵循的行为标准，以反映投资顾问的受托责任。受监督人员应以书面方式确认收到了行为准则。</w:t>
      </w:r>
    </w:p>
    <w:p w:rsidR="002B5145" w:rsidRDefault="002B5145" w:rsidP="002B5145">
      <w:pPr>
        <w:spacing w:beforeLines="20" w:before="62" w:afterLines="20" w:after="62"/>
        <w:ind w:firstLine="480"/>
        <w:rPr>
          <w:rFonts w:ascii="宋体" w:hAnsi="宋体" w:hint="eastAsia"/>
        </w:rPr>
      </w:pPr>
      <w:r>
        <w:rPr>
          <w:rFonts w:ascii="宋体" w:hAnsi="宋体" w:hint="eastAsia"/>
        </w:rPr>
        <w:lastRenderedPageBreak/>
        <w:t>（2）遵守联邦证券法。投资顾问的行为准则应要求受监督人员遵守适用的联邦证券法。</w:t>
      </w:r>
    </w:p>
    <w:p w:rsidR="002B5145" w:rsidRDefault="002B5145" w:rsidP="002B5145">
      <w:pPr>
        <w:spacing w:beforeLines="20" w:before="62" w:afterLines="20" w:after="62"/>
        <w:ind w:firstLine="480"/>
        <w:rPr>
          <w:rFonts w:ascii="宋体" w:hAnsi="宋体" w:hint="eastAsia"/>
        </w:rPr>
      </w:pPr>
      <w:r>
        <w:rPr>
          <w:rFonts w:ascii="宋体" w:hAnsi="宋体" w:hint="eastAsia"/>
        </w:rPr>
        <w:t>（3）保护非公开信息。行为准则应包括合理地保护非公开的重要信息内容，包括投资顾问的证券投资建议，客户的证券持仓情况。</w:t>
      </w:r>
    </w:p>
    <w:p w:rsidR="002B5145" w:rsidRDefault="002B5145" w:rsidP="002B5145">
      <w:pPr>
        <w:spacing w:beforeLines="20" w:before="62" w:afterLines="20" w:after="62"/>
        <w:ind w:firstLine="480"/>
        <w:rPr>
          <w:rFonts w:ascii="宋体" w:hAnsi="宋体" w:hint="eastAsia"/>
        </w:rPr>
      </w:pPr>
      <w:r>
        <w:rPr>
          <w:rFonts w:ascii="宋体" w:hAnsi="宋体" w:hint="eastAsia"/>
        </w:rPr>
        <w:t xml:space="preserve">（4）个人买卖证券的报告。行为准则应要求有关人员报告其个人持有证券情况以及交易情况，包括在该投资顾问及其附属机构管理的共同基金中的交易情况。 </w:t>
      </w:r>
    </w:p>
    <w:p w:rsidR="002B5145" w:rsidRDefault="002B5145" w:rsidP="002B5145">
      <w:pPr>
        <w:spacing w:beforeLines="20" w:before="62" w:afterLines="20" w:after="62"/>
        <w:ind w:firstLine="480"/>
        <w:rPr>
          <w:rFonts w:ascii="宋体" w:hAnsi="宋体" w:hint="eastAsia"/>
        </w:rPr>
      </w:pPr>
      <w:r>
        <w:rPr>
          <w:rFonts w:ascii="宋体" w:hAnsi="宋体" w:hint="eastAsia"/>
        </w:rPr>
        <w:t>（5）某些交易的事先批准。有关人员应事先报告其个人投资</w:t>
      </w:r>
      <w:proofErr w:type="gramStart"/>
      <w:r>
        <w:rPr>
          <w:rFonts w:ascii="宋体" w:hAnsi="宋体" w:hint="eastAsia"/>
        </w:rPr>
        <w:t>于首次</w:t>
      </w:r>
      <w:proofErr w:type="gramEnd"/>
      <w:r>
        <w:rPr>
          <w:rFonts w:ascii="宋体" w:hAnsi="宋体" w:hint="eastAsia"/>
        </w:rPr>
        <w:t>公开发行及有限制发行证券的情况。</w:t>
      </w:r>
    </w:p>
    <w:p w:rsidR="002B5145" w:rsidRDefault="002B5145" w:rsidP="002B5145">
      <w:pPr>
        <w:spacing w:beforeLines="20" w:before="62" w:afterLines="20" w:after="62"/>
        <w:ind w:firstLine="480"/>
        <w:rPr>
          <w:rFonts w:ascii="宋体" w:hAnsi="宋体" w:hint="eastAsia"/>
        </w:rPr>
      </w:pPr>
      <w:r>
        <w:rPr>
          <w:rFonts w:ascii="宋体" w:hAnsi="宋体" w:hint="eastAsia"/>
        </w:rPr>
        <w:t>（6）对违反守则情况的报告。受监督人员如违反守则，应立即向督察长或指定人员报告违反情况。</w:t>
      </w:r>
    </w:p>
    <w:p w:rsidR="002B5145" w:rsidRDefault="002B5145" w:rsidP="002B5145">
      <w:pPr>
        <w:rPr>
          <w:rFonts w:ascii="宋体" w:hAnsi="宋体" w:hint="eastAsia"/>
          <w:b/>
          <w:bCs/>
        </w:rPr>
      </w:pPr>
    </w:p>
    <w:p w:rsidR="002B5145" w:rsidRDefault="002B5145" w:rsidP="002B5145">
      <w:pPr>
        <w:jc w:val="center"/>
        <w:rPr>
          <w:rFonts w:ascii="宋体" w:hAnsi="宋体" w:hint="eastAsia"/>
          <w:b/>
          <w:bCs/>
        </w:rPr>
      </w:pPr>
      <w:r>
        <w:rPr>
          <w:rFonts w:ascii="宋体" w:hAnsi="宋体" w:hint="eastAsia"/>
          <w:b/>
          <w:bCs/>
          <w:szCs w:val="21"/>
        </w:rPr>
        <w:t>从违规事件</w:t>
      </w:r>
      <w:proofErr w:type="gramStart"/>
      <w:r>
        <w:rPr>
          <w:rFonts w:ascii="宋体" w:hAnsi="宋体" w:hint="eastAsia"/>
          <w:b/>
          <w:bCs/>
          <w:szCs w:val="21"/>
        </w:rPr>
        <w:t>看共同</w:t>
      </w:r>
      <w:proofErr w:type="gramEnd"/>
      <w:r>
        <w:rPr>
          <w:rFonts w:ascii="宋体" w:hAnsi="宋体" w:hint="eastAsia"/>
          <w:b/>
          <w:bCs/>
          <w:szCs w:val="21"/>
        </w:rPr>
        <w:t>基金治理制度安排的有效性</w:t>
      </w:r>
    </w:p>
    <w:p w:rsidR="002B5145" w:rsidRDefault="002B5145" w:rsidP="002B5145">
      <w:pPr>
        <w:ind w:firstLine="435"/>
        <w:rPr>
          <w:rFonts w:ascii="宋体" w:hAnsi="宋体" w:hint="eastAsia"/>
        </w:rPr>
      </w:pPr>
    </w:p>
    <w:p w:rsidR="002B5145" w:rsidRDefault="002B5145" w:rsidP="002B5145">
      <w:pPr>
        <w:ind w:firstLineChars="200" w:firstLine="420"/>
        <w:rPr>
          <w:rFonts w:ascii="宋体" w:hAnsi="宋体" w:hint="eastAsia"/>
        </w:rPr>
      </w:pPr>
      <w:r>
        <w:rPr>
          <w:rFonts w:ascii="宋体" w:hAnsi="宋体" w:hint="eastAsia"/>
        </w:rPr>
        <w:t>违规事件发生后，媒体与投资者</w:t>
      </w:r>
      <w:proofErr w:type="gramStart"/>
      <w:r>
        <w:rPr>
          <w:rFonts w:ascii="宋体" w:hAnsi="宋体" w:hint="eastAsia"/>
        </w:rPr>
        <w:t>作出</w:t>
      </w:r>
      <w:proofErr w:type="gramEnd"/>
      <w:r>
        <w:rPr>
          <w:rFonts w:ascii="宋体" w:hAnsi="宋体" w:hint="eastAsia"/>
        </w:rPr>
        <w:t>了强烈反应。所涉基金管理公司旗下基金出现了一定程度的赎回。 此次丑闻被各界认为是美国共同基金60多年来最严重的违规事件。事件虽然给行业带来了较大的震动，但没有动摇行业的基础。但从整个行业的情况看，共同基金的资产规模并没有受到影响，巨额的赎回也没有发生。这就使得我们有必要看看美国共同基金制度安排的合理性和有效性。</w:t>
      </w:r>
    </w:p>
    <w:p w:rsidR="002B5145" w:rsidRDefault="002B5145" w:rsidP="002B5145">
      <w:pPr>
        <w:ind w:firstLine="435"/>
        <w:rPr>
          <w:rFonts w:ascii="宋体" w:hAnsi="宋体" w:hint="eastAsia"/>
        </w:rPr>
      </w:pPr>
      <w:r>
        <w:rPr>
          <w:rFonts w:ascii="宋体" w:hAnsi="宋体" w:hint="eastAsia"/>
        </w:rPr>
        <w:t>在美国，共同基金被认为是监管最严格的行业。与其他行业相比，丑闻和违规比较少。为什么要对共同基金进行最严格的监管，其治理安排的特点在哪里？基金治理与一般的公司治理有何不同？</w:t>
      </w:r>
    </w:p>
    <w:p w:rsidR="002B5145" w:rsidRDefault="002B5145" w:rsidP="002B5145">
      <w:pPr>
        <w:ind w:firstLine="435"/>
        <w:rPr>
          <w:rFonts w:ascii="宋体" w:hAnsi="宋体" w:hint="eastAsia"/>
        </w:rPr>
      </w:pPr>
      <w:r>
        <w:rPr>
          <w:rFonts w:ascii="宋体" w:hAnsi="宋体" w:hint="eastAsia"/>
        </w:rPr>
        <w:t>内部治理的最主要特征就是企业的剩余控制权和剩余索取权应尽可能匹配。但在基金结构中，剩余控制权与剩余索取权基本是分离的。典型的例子是，按照基金章程或基金契约的规定，基金的剩余控制权，即契约中没有规定的基金的投资权限，由基金管理人独享；而基金的剩余索取权，即基金的剩余收益，由基金投资人分享。基金管理人收取的是一定比例的固定报酬，基本上不享有剩余索取权。剩余控制权与剩余索取权的分离，很可能导致基金管理人的权利滥用和机会主义行为。以内部治理为主的安排，解决不了基金持有人利益保护问题。因此，必须引入强制性的外部治理，即以法律和对法律的强制实施为主要方式的国家力量，方能使基金管理人以基金持有人的最大利益去行使剩余控制权。两个正面与反面例子充分证明基金治理的外部性与强制性。例一是美国1929—1933年之前的共同基金业。由于没有法律及与之相适应的执行，彼时的美国共同基金业欺诈成风，侵害投资者利益的事件比比皆是，大危机使基金业遭受重创。痛定思痛，国会于1940年制定了《投资公司法》和《投资顾问法》。从此，美国共同基金业的发展基本上是一帆风顺。例二是1991年开始的我国“老基金”。由于没有统一的全国性法律，“老基金”投资目标混乱，投资法人股、房地产、实业，甚至拆借都有，</w:t>
      </w:r>
      <w:proofErr w:type="gramStart"/>
      <w:r>
        <w:rPr>
          <w:rFonts w:ascii="宋体" w:hAnsi="宋体" w:hint="eastAsia"/>
        </w:rPr>
        <w:t>运作极</w:t>
      </w:r>
      <w:proofErr w:type="gramEnd"/>
      <w:r>
        <w:rPr>
          <w:rFonts w:ascii="宋体" w:hAnsi="宋体" w:hint="eastAsia"/>
        </w:rPr>
        <w:t>不规范，以至于后来不得不进行大规模的清理整顿，有关各方付出了沉痛的代价。自1997年颁布《证券投资基金管理暂行办法》以来，基金业的发展步入正轨，虽然也发生过“基金黑幕”事件，但没有动摇行业根基。整顿之后，行业呈加速发展趋势。</w:t>
      </w:r>
    </w:p>
    <w:p w:rsidR="002B5145" w:rsidRDefault="002B5145" w:rsidP="002B5145">
      <w:pPr>
        <w:ind w:firstLine="435"/>
        <w:rPr>
          <w:rFonts w:ascii="宋体" w:hAnsi="宋体" w:hint="eastAsia"/>
        </w:rPr>
      </w:pPr>
      <w:r>
        <w:rPr>
          <w:rFonts w:ascii="宋体" w:hAnsi="宋体" w:hint="eastAsia"/>
        </w:rPr>
        <w:t>外部治理，体现为基金运作呈标准化、格式化和流程化特征。所有的基金管理公司提供同质的产品，公司治理、内部机构、人员要求、投资及其他业务运作等，执行相同的标准。近期中国证监会为实施《证券投资基金法》颁布的配套法规，包括投资运作、基金销售、信息披露等，对基金管理公司相关业务运作，</w:t>
      </w:r>
      <w:proofErr w:type="gramStart"/>
      <w:r>
        <w:rPr>
          <w:rFonts w:ascii="宋体" w:hAnsi="宋体" w:hint="eastAsia"/>
        </w:rPr>
        <w:t>作出</w:t>
      </w:r>
      <w:proofErr w:type="gramEnd"/>
      <w:r>
        <w:rPr>
          <w:rFonts w:ascii="宋体" w:hAnsi="宋体" w:hint="eastAsia"/>
        </w:rPr>
        <w:t>了非常具体和详尽的规定。这些规定，就是典型的强制性外部治理的具体体现。这种“保姆式”的制度安排，使得基金业自然地成为监管最严格的行业。世界</w:t>
      </w:r>
      <w:proofErr w:type="gramStart"/>
      <w:r>
        <w:rPr>
          <w:rFonts w:ascii="宋体" w:hAnsi="宋体" w:hint="eastAsia"/>
        </w:rPr>
        <w:t>上基金</w:t>
      </w:r>
      <w:proofErr w:type="gramEnd"/>
      <w:r>
        <w:rPr>
          <w:rFonts w:ascii="宋体" w:hAnsi="宋体" w:hint="eastAsia"/>
        </w:rPr>
        <w:t>业发展有序和良好的国家和地区，基本上都采取了这样的制度</w:t>
      </w:r>
      <w:r>
        <w:rPr>
          <w:rFonts w:ascii="宋体" w:hAnsi="宋体" w:hint="eastAsia"/>
        </w:rPr>
        <w:lastRenderedPageBreak/>
        <w:t>安排。</w:t>
      </w:r>
    </w:p>
    <w:p w:rsidR="002B5145" w:rsidRDefault="002B5145" w:rsidP="002B5145">
      <w:pPr>
        <w:ind w:firstLine="435"/>
        <w:rPr>
          <w:rFonts w:ascii="宋体" w:hAnsi="宋体" w:hint="eastAsia"/>
          <w:color w:val="0000FF"/>
        </w:rPr>
      </w:pPr>
      <w:r>
        <w:rPr>
          <w:rFonts w:ascii="宋体" w:hAnsi="宋体" w:hint="eastAsia"/>
        </w:rPr>
        <w:t>强制性外部治理的基金制度安排，包括基金管理人的准入标准、治理准则、从业人员特别是高管人员的执业标准、基金资产的强制托管制度、投资比例的禁止与限制制度、信息披露制度、销售中客观完整准确说明要求、严格的内控制度，以及对违规行为的严厉惩处，等等，构成了基金行业的制度基础。只要这些基础不被动摇，行业整体上可以得到健康发展。个别的局部的违规行为，可以得到及时纠正，投资者的信心可以维持。美国共同基金丑闻对行业的影响，充分说明了这点。我们从中可以得到的启示是，我国证券投资基金业的有序发展，在任何情况下都要以法律及对法律的严格执行为保障。法律规定得越科学、完整、具体和有操作性，执法越严，对违法行为纠正越及时，行业的发展就越健康。</w:t>
      </w:r>
    </w:p>
    <w:p w:rsidR="002B5145" w:rsidRDefault="002B5145" w:rsidP="002B5145">
      <w:pPr>
        <w:ind w:firstLine="435"/>
        <w:rPr>
          <w:rFonts w:ascii="宋体" w:hAnsi="宋体" w:hint="eastAsia"/>
          <w:b/>
        </w:rPr>
      </w:pPr>
      <w:r>
        <w:rPr>
          <w:rFonts w:ascii="宋体" w:hAnsi="宋体" w:hint="eastAsia"/>
          <w:b/>
        </w:rPr>
        <w:t>作者简介：</w:t>
      </w:r>
      <w:proofErr w:type="gramStart"/>
      <w:r>
        <w:rPr>
          <w:rFonts w:ascii="宋体" w:hAnsi="宋体" w:hint="eastAsia"/>
          <w:b/>
        </w:rPr>
        <w:t>叶俊英</w:t>
      </w:r>
      <w:proofErr w:type="gramEnd"/>
      <w:r>
        <w:rPr>
          <w:rFonts w:ascii="宋体" w:hAnsi="宋体" w:hint="eastAsia"/>
          <w:b/>
        </w:rPr>
        <w:t>，易方达基金管理有限公司总裁。</w:t>
      </w:r>
    </w:p>
    <w:p w:rsidR="002B5145" w:rsidRDefault="002B5145" w:rsidP="002B5145">
      <w:pPr>
        <w:spacing w:before="240"/>
        <w:ind w:firstLine="435"/>
        <w:rPr>
          <w:rFonts w:ascii="宋体" w:hAnsi="宋体" w:hint="eastAsia"/>
        </w:rPr>
      </w:pPr>
    </w:p>
    <w:p w:rsidR="002B5145" w:rsidRDefault="002B5145" w:rsidP="002B5145">
      <w:pPr>
        <w:ind w:firstLine="435"/>
        <w:rPr>
          <w:rFonts w:asciiTheme="minorEastAsia" w:eastAsiaTheme="minorEastAsia" w:hAnsiTheme="minorEastAsia" w:hint="eastAsia"/>
          <w:sz w:val="24"/>
          <w:u w:val="single"/>
        </w:rPr>
      </w:pPr>
      <w:r>
        <w:rPr>
          <w:rFonts w:ascii="宋体" w:hAnsi="宋体" w:hint="eastAsia"/>
        </w:rPr>
        <w:t>注释</w:t>
      </w:r>
    </w:p>
    <w:p w:rsidR="002B5145" w:rsidRDefault="002B5145" w:rsidP="002B5145">
      <w:pPr>
        <w:rPr>
          <w:rFonts w:hint="eastAsia"/>
        </w:rPr>
      </w:pPr>
    </w:p>
    <w:p w:rsidR="007A2DC8" w:rsidRDefault="007A2DC8">
      <w:bookmarkStart w:id="1" w:name="_GoBack"/>
      <w:bookmarkEnd w:id="1"/>
    </w:p>
    <w:sectPr w:rsidR="007A2DC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7F79" w:rsidRDefault="00A47F79" w:rsidP="002B5145">
      <w:r>
        <w:separator/>
      </w:r>
    </w:p>
  </w:endnote>
  <w:endnote w:type="continuationSeparator" w:id="0">
    <w:p w:rsidR="00A47F79" w:rsidRDefault="00A47F79" w:rsidP="002B5145">
      <w:r>
        <w:continuationSeparator/>
      </w:r>
    </w:p>
  </w:endnote>
  <w:endnote w:id="1">
    <w:p w:rsidR="002B5145" w:rsidRDefault="002B5145" w:rsidP="002B5145">
      <w:pPr>
        <w:pStyle w:val="a4"/>
        <w:rPr>
          <w:kern w:val="0"/>
        </w:rPr>
      </w:pPr>
      <w:r>
        <w:rPr>
          <w:rStyle w:val="a5"/>
          <w:rFonts w:hint="eastAsia"/>
          <w:bCs/>
        </w:rPr>
        <w:t>①</w:t>
      </w:r>
      <w:r>
        <w:rPr>
          <w:bCs/>
        </w:rPr>
        <w:t xml:space="preserve"> </w:t>
      </w:r>
      <w:r>
        <w:rPr>
          <w:kern w:val="0"/>
        </w:rPr>
        <w:t xml:space="preserve">Eric </w:t>
      </w:r>
      <w:proofErr w:type="spellStart"/>
      <w:r>
        <w:rPr>
          <w:kern w:val="0"/>
        </w:rPr>
        <w:t>Zitzewitz</w:t>
      </w:r>
      <w:proofErr w:type="spellEnd"/>
      <w:r>
        <w:rPr>
          <w:kern w:val="0"/>
        </w:rPr>
        <w:t xml:space="preserve">, Who Cares About Shareholders? Arbitrage-Proofing Mutual Funds (October 2002) 35, at </w:t>
      </w:r>
      <w:hyperlink r:id="rId1" w:history="1">
        <w:r>
          <w:rPr>
            <w:rStyle w:val="a3"/>
            <w:kern w:val="0"/>
          </w:rPr>
          <w:t>http://faculty-gsb.stanford.edu/zitzewitz/Research/arbitrage1002.pdf</w:t>
        </w:r>
      </w:hyperlink>
      <w:r>
        <w:rPr>
          <w:kern w:val="0"/>
        </w:rPr>
        <w:t xml:space="preserve"> </w:t>
      </w:r>
    </w:p>
    <w:p w:rsidR="002B5145" w:rsidRDefault="002B5145" w:rsidP="002B5145">
      <w:pPr>
        <w:pStyle w:val="a4"/>
        <w:rPr>
          <w:b/>
          <w:bCs/>
        </w:rPr>
      </w:pPr>
    </w:p>
  </w:endnote>
  <w:endnote w:id="2">
    <w:p w:rsidR="002B5145" w:rsidRDefault="002B5145" w:rsidP="002B5145">
      <w:pPr>
        <w:pStyle w:val="a4"/>
      </w:pPr>
      <w:r>
        <w:rPr>
          <w:rStyle w:val="a5"/>
          <w:rFonts w:hint="eastAsia"/>
        </w:rPr>
        <w:t>②</w:t>
      </w:r>
      <w:r>
        <w:rPr>
          <w:rFonts w:ascii="宋体" w:hAnsi="宋体" w:hint="eastAsia"/>
        </w:rPr>
        <w:t xml:space="preserve"> </w:t>
      </w:r>
      <w:smartTag w:uri="urn:schemas-microsoft-com:office:smarttags" w:element="place">
        <w:smartTag w:uri="urn:schemas-microsoft-com:office:smarttags" w:element="State">
          <w:r>
            <w:rPr>
              <w:rFonts w:ascii="宋体" w:hAnsi="宋体" w:hint="eastAsia"/>
            </w:rPr>
            <w:t>New York</w:t>
          </w:r>
        </w:smartTag>
      </w:smartTag>
      <w:r>
        <w:rPr>
          <w:rFonts w:ascii="宋体" w:hAnsi="宋体" w:hint="eastAsia"/>
        </w:rPr>
        <w:t xml:space="preserve"> State </w:t>
      </w:r>
      <w:r>
        <w:t xml:space="preserve"> </w:t>
      </w:r>
      <w:hyperlink r:id="rId2" w:history="1">
        <w:r>
          <w:rPr>
            <w:rStyle w:val="a3"/>
          </w:rPr>
          <w:t>http://www.oag.state.ny.us/press/2003/sep/canary_complaint.pdf</w:t>
        </w:r>
      </w:hyperlink>
    </w:p>
    <w:p w:rsidR="002B5145" w:rsidRDefault="002B5145" w:rsidP="002B5145">
      <w:pPr>
        <w:pStyle w:val="a4"/>
      </w:pPr>
    </w:p>
  </w:endnote>
  <w:endnote w:id="3">
    <w:p w:rsidR="002B5145" w:rsidRDefault="002B5145" w:rsidP="002B5145">
      <w:pPr>
        <w:pStyle w:val="a4"/>
      </w:pPr>
      <w:r>
        <w:rPr>
          <w:rStyle w:val="a5"/>
          <w:rFonts w:hint="eastAsia"/>
        </w:rPr>
        <w:t>③</w:t>
      </w:r>
      <w:r>
        <w:t xml:space="preserve"> </w:t>
      </w:r>
      <w:r>
        <w:rPr>
          <w:rFonts w:hint="eastAsia"/>
        </w:rPr>
        <w:t>笔者理解“雷达下择时”之意为：“雷达”之下为盲区，故“雷达下择时”是一种故意避开检查的不易被发现的择时交易方法。</w:t>
      </w:r>
    </w:p>
    <w:p w:rsidR="002B5145" w:rsidRDefault="002B5145" w:rsidP="002B5145">
      <w:pPr>
        <w:pStyle w:val="a4"/>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7F79" w:rsidRDefault="00A47F79" w:rsidP="002B5145">
      <w:r>
        <w:separator/>
      </w:r>
    </w:p>
  </w:footnote>
  <w:footnote w:type="continuationSeparator" w:id="0">
    <w:p w:rsidR="00A47F79" w:rsidRDefault="00A47F79" w:rsidP="002B51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145"/>
    <w:rsid w:val="002B5145"/>
    <w:rsid w:val="007A2DC8"/>
    <w:rsid w:val="00A47F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hsdate"/>
  <w:shapeDefaults>
    <o:shapedefaults v:ext="edit" spidmax="1026"/>
    <o:shapelayout v:ext="edit">
      <o:idmap v:ext="edit" data="1"/>
    </o:shapelayout>
  </w:shapeDefaults>
  <w:decimalSymbol w:val="."/>
  <w:listSeparator w:val=","/>
  <w15:chartTrackingRefBased/>
  <w15:docId w15:val="{0311D244-61FC-4463-A95D-06200326E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514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2B5145"/>
    <w:rPr>
      <w:color w:val="0000FF"/>
      <w:u w:val="single"/>
    </w:rPr>
  </w:style>
  <w:style w:type="paragraph" w:styleId="a4">
    <w:name w:val="endnote text"/>
    <w:basedOn w:val="a"/>
    <w:link w:val="Char"/>
    <w:semiHidden/>
    <w:unhideWhenUsed/>
    <w:rsid w:val="002B5145"/>
    <w:pPr>
      <w:snapToGrid w:val="0"/>
      <w:jc w:val="left"/>
    </w:pPr>
  </w:style>
  <w:style w:type="character" w:customStyle="1" w:styleId="Char">
    <w:name w:val="尾注文本 Char"/>
    <w:basedOn w:val="a0"/>
    <w:link w:val="a4"/>
    <w:semiHidden/>
    <w:rsid w:val="002B5145"/>
    <w:rPr>
      <w:rFonts w:ascii="Times New Roman" w:eastAsia="宋体" w:hAnsi="Times New Roman" w:cs="Times New Roman"/>
      <w:szCs w:val="24"/>
    </w:rPr>
  </w:style>
  <w:style w:type="character" w:styleId="a5">
    <w:name w:val="endnote reference"/>
    <w:basedOn w:val="a0"/>
    <w:semiHidden/>
    <w:unhideWhenUsed/>
    <w:rsid w:val="002B51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691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endnotes.xml.rels><?xml version="1.0" encoding="UTF-8" standalone="yes"?>
<Relationships xmlns="http://schemas.openxmlformats.org/package/2006/relationships"><Relationship Id="rId2" Type="http://schemas.openxmlformats.org/officeDocument/2006/relationships/hyperlink" Target="http://www.oag.state.ny.us/press/2003/sep/canary_complaint.pdf" TargetMode="External"/><Relationship Id="rId1" Type="http://schemas.openxmlformats.org/officeDocument/2006/relationships/hyperlink" Target="http://faculty-gsb.stanford.edu/zitzewitz/Research/arbitrage1002.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1888</Words>
  <Characters>10763</Characters>
  <Application>Microsoft Office Word</Application>
  <DocSecurity>0</DocSecurity>
  <Lines>89</Lines>
  <Paragraphs>25</Paragraphs>
  <ScaleCrop>false</ScaleCrop>
  <Company>Microsoft</Company>
  <LinksUpToDate>false</LinksUpToDate>
  <CharactersWithSpaces>12626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2017-09-13T02:09:00Z</dcterms:created>
  <dcterms:modified xsi:type="dcterms:W3CDTF">2017-09-13T02:10:00Z</dcterms:modified>
</cp:coreProperties>
</file>