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07C8" w14:textId="77777777" w:rsidR="006A1741" w:rsidRDefault="00000000">
      <w:pPr>
        <w:jc w:val="center"/>
        <w:rPr>
          <w:b/>
          <w:sz w:val="44"/>
          <w:szCs w:val="44"/>
        </w:rPr>
      </w:pPr>
      <w:r>
        <w:rPr>
          <w:rFonts w:hint="eastAsia"/>
          <w:b/>
          <w:sz w:val="44"/>
          <w:szCs w:val="44"/>
        </w:rPr>
        <w:t>（</w:t>
      </w:r>
      <w:r>
        <w:rPr>
          <w:rFonts w:hint="eastAsia"/>
          <w:b/>
          <w:sz w:val="44"/>
          <w:szCs w:val="44"/>
        </w:rPr>
        <w:t>0451</w:t>
      </w:r>
      <w:r>
        <w:rPr>
          <w:rFonts w:hint="eastAsia"/>
          <w:b/>
          <w:sz w:val="44"/>
          <w:szCs w:val="44"/>
        </w:rPr>
        <w:t>）《民法请求权分析实例研习（二）》教学大纲</w:t>
      </w:r>
    </w:p>
    <w:p w14:paraId="05EB265E" w14:textId="77777777" w:rsidR="006A1741" w:rsidRDefault="006A1741">
      <w:pPr>
        <w:jc w:val="center"/>
      </w:pPr>
    </w:p>
    <w:p w14:paraId="68600332" w14:textId="77777777" w:rsidR="006A1741" w:rsidRDefault="00000000">
      <w:r>
        <w:rPr>
          <w:rFonts w:hint="eastAsia"/>
          <w:b/>
        </w:rPr>
        <w:t>课程：</w:t>
      </w:r>
      <w:r>
        <w:rPr>
          <w:rFonts w:hint="eastAsia"/>
          <w:b/>
        </w:rPr>
        <w:t xml:space="preserve">                   </w:t>
      </w:r>
      <w:r>
        <w:rPr>
          <w:rFonts w:hint="eastAsia"/>
        </w:rPr>
        <w:t xml:space="preserve"> </w:t>
      </w:r>
      <w:r>
        <w:rPr>
          <w:rFonts w:hint="eastAsia"/>
        </w:rPr>
        <w:t>民法请求权分析实例研习（二）</w:t>
      </w:r>
      <w:r>
        <w:rPr>
          <w:rFonts w:hint="eastAsia"/>
        </w:rPr>
        <w:t xml:space="preserve">0451  </w:t>
      </w:r>
      <w:r>
        <w:rPr>
          <w:rFonts w:hint="eastAsia"/>
        </w:rPr>
        <w:t>课程代码</w:t>
      </w:r>
      <w:r>
        <w:rPr>
          <w:rFonts w:hint="eastAsia"/>
        </w:rPr>
        <w:t>102500</w:t>
      </w:r>
    </w:p>
    <w:p w14:paraId="2322779C" w14:textId="77777777" w:rsidR="006A1741" w:rsidRDefault="006A1741">
      <w:pPr>
        <w:jc w:val="center"/>
      </w:pPr>
    </w:p>
    <w:p w14:paraId="5C7DE151" w14:textId="77777777" w:rsidR="006A1741" w:rsidRDefault="00000000">
      <w:r>
        <w:rPr>
          <w:rFonts w:hint="eastAsia"/>
          <w:b/>
          <w:bCs/>
        </w:rPr>
        <w:t>授课教师：</w:t>
      </w:r>
      <w:r>
        <w:rPr>
          <w:rFonts w:hint="eastAsia"/>
        </w:rPr>
        <w:t xml:space="preserve">                </w:t>
      </w:r>
      <w:r>
        <w:rPr>
          <w:rFonts w:hint="eastAsia"/>
        </w:rPr>
        <w:t>朱晓喆、刘洋</w:t>
      </w:r>
    </w:p>
    <w:p w14:paraId="3E886867" w14:textId="77777777" w:rsidR="006A1741" w:rsidRDefault="00000000">
      <w:r>
        <w:t xml:space="preserve">                          </w:t>
      </w:r>
      <w:r>
        <w:rPr>
          <w:rFonts w:hint="eastAsia"/>
        </w:rPr>
        <w:t>答疑时间：周二：</w:t>
      </w:r>
      <w:r>
        <w:rPr>
          <w:rFonts w:hint="eastAsia"/>
        </w:rPr>
        <w:t>12:00</w:t>
      </w:r>
      <w:r>
        <w:rPr>
          <w:rFonts w:hint="eastAsia"/>
        </w:rPr>
        <w:t>—</w:t>
      </w:r>
      <w:r>
        <w:rPr>
          <w:rFonts w:hint="eastAsia"/>
        </w:rPr>
        <w:t xml:space="preserve">14:00 </w:t>
      </w:r>
      <w:r>
        <w:rPr>
          <w:rFonts w:hint="eastAsia"/>
        </w:rPr>
        <w:t>或事先预约</w:t>
      </w:r>
    </w:p>
    <w:p w14:paraId="1A5DD000" w14:textId="77777777" w:rsidR="006A1741" w:rsidRDefault="00000000">
      <w:r>
        <w:rPr>
          <w:rFonts w:hint="eastAsia"/>
        </w:rPr>
        <w:t xml:space="preserve">                          </w:t>
      </w:r>
      <w:r>
        <w:rPr>
          <w:rFonts w:hint="eastAsia"/>
        </w:rPr>
        <w:t>答疑地点：法学院</w:t>
      </w:r>
      <w:r>
        <w:rPr>
          <w:rFonts w:hint="eastAsia"/>
        </w:rPr>
        <w:t>401</w:t>
      </w:r>
    </w:p>
    <w:p w14:paraId="6E62CD81" w14:textId="77777777" w:rsidR="006A1741" w:rsidRDefault="00000000">
      <w:r>
        <w:rPr>
          <w:rFonts w:hint="eastAsia"/>
        </w:rPr>
        <w:t xml:space="preserve">                         </w:t>
      </w:r>
      <w:r>
        <w:t xml:space="preserve"> </w:t>
      </w:r>
      <w:r>
        <w:rPr>
          <w:rFonts w:hint="eastAsia"/>
        </w:rPr>
        <w:t>E-mail</w:t>
      </w:r>
      <w:r>
        <w:rPr>
          <w:rFonts w:hint="eastAsia"/>
        </w:rPr>
        <w:t>：</w:t>
      </w:r>
      <w:r>
        <w:rPr>
          <w:rFonts w:hint="eastAsia"/>
        </w:rPr>
        <w:t>liuyang@mail.sufe.edu.cn</w:t>
      </w:r>
    </w:p>
    <w:p w14:paraId="16D79361" w14:textId="77777777" w:rsidR="006A1741" w:rsidRDefault="006A1741">
      <w:pPr>
        <w:rPr>
          <w:u w:val="single"/>
        </w:rPr>
      </w:pPr>
    </w:p>
    <w:p w14:paraId="21D180F1" w14:textId="77777777" w:rsidR="006A1741" w:rsidRDefault="00000000">
      <w:r>
        <w:rPr>
          <w:rFonts w:hint="eastAsia"/>
          <w:b/>
        </w:rPr>
        <w:t>课程类别：</w:t>
      </w:r>
      <w:r>
        <w:rPr>
          <w:rFonts w:hint="eastAsia"/>
          <w:b/>
        </w:rPr>
        <w:t xml:space="preserve">                </w:t>
      </w:r>
      <w:r>
        <w:rPr>
          <w:rFonts w:hint="eastAsia"/>
        </w:rPr>
        <w:t>专业必修课</w:t>
      </w:r>
    </w:p>
    <w:p w14:paraId="44BB5C69" w14:textId="77777777" w:rsidR="006A1741" w:rsidRDefault="006A1741"/>
    <w:p w14:paraId="5769420D" w14:textId="77777777" w:rsidR="006A1741" w:rsidRDefault="00000000">
      <w:r>
        <w:rPr>
          <w:rFonts w:hint="eastAsia"/>
          <w:b/>
        </w:rPr>
        <w:t>课程安排说明：</w:t>
      </w:r>
      <w:r>
        <w:rPr>
          <w:rFonts w:hint="eastAsia"/>
        </w:rPr>
        <w:t xml:space="preserve">            2025</w:t>
      </w:r>
      <w:r>
        <w:rPr>
          <w:rFonts w:hint="eastAsia"/>
        </w:rPr>
        <w:t>年</w:t>
      </w:r>
      <w:r>
        <w:rPr>
          <w:rFonts w:hint="eastAsia"/>
        </w:rPr>
        <w:t>2</w:t>
      </w:r>
      <w:r>
        <w:rPr>
          <w:rFonts w:hint="eastAsia"/>
        </w:rPr>
        <w:t>月</w:t>
      </w:r>
      <w:r>
        <w:rPr>
          <w:rFonts w:hint="eastAsia"/>
        </w:rPr>
        <w:t>24</w:t>
      </w:r>
      <w:r>
        <w:rPr>
          <w:rFonts w:hint="eastAsia"/>
        </w:rPr>
        <w:t>日—</w:t>
      </w:r>
      <w:r>
        <w:rPr>
          <w:rFonts w:hint="eastAsia"/>
        </w:rPr>
        <w:t>2025</w:t>
      </w:r>
      <w:r>
        <w:rPr>
          <w:rFonts w:hint="eastAsia"/>
        </w:rPr>
        <w:t>年</w:t>
      </w:r>
      <w:r>
        <w:rPr>
          <w:rFonts w:hint="eastAsia"/>
        </w:rPr>
        <w:t>6</w:t>
      </w:r>
      <w:r>
        <w:rPr>
          <w:rFonts w:hint="eastAsia"/>
        </w:rPr>
        <w:t>月</w:t>
      </w:r>
      <w:r>
        <w:rPr>
          <w:rFonts w:hint="eastAsia"/>
        </w:rPr>
        <w:t>13</w:t>
      </w:r>
      <w:r>
        <w:rPr>
          <w:rFonts w:hint="eastAsia"/>
        </w:rPr>
        <w:t>日</w:t>
      </w:r>
    </w:p>
    <w:p w14:paraId="6F28364F" w14:textId="77777777" w:rsidR="006A1741" w:rsidRDefault="00000000">
      <w:r>
        <w:rPr>
          <w:rFonts w:hint="eastAsia"/>
        </w:rPr>
        <w:t xml:space="preserve">                          </w:t>
      </w:r>
      <w:r>
        <w:rPr>
          <w:rFonts w:hint="eastAsia"/>
        </w:rPr>
        <w:t>周五下午</w:t>
      </w:r>
      <w:r>
        <w:rPr>
          <w:rFonts w:hint="eastAsia"/>
        </w:rPr>
        <w:t>13:20</w:t>
      </w:r>
      <w:r>
        <w:rPr>
          <w:rFonts w:hint="eastAsia"/>
        </w:rPr>
        <w:t>—</w:t>
      </w:r>
      <w:r>
        <w:rPr>
          <w:rFonts w:hint="eastAsia"/>
        </w:rPr>
        <w:t>13:00</w:t>
      </w:r>
    </w:p>
    <w:p w14:paraId="5EC47E3F" w14:textId="77777777" w:rsidR="006A1741" w:rsidRDefault="00000000">
      <w:r>
        <w:rPr>
          <w:rFonts w:hint="eastAsia"/>
        </w:rPr>
        <w:t xml:space="preserve">                          </w:t>
      </w:r>
      <w:r>
        <w:rPr>
          <w:rFonts w:hint="eastAsia"/>
        </w:rPr>
        <w:t>授课地点：一教</w:t>
      </w:r>
      <w:r>
        <w:rPr>
          <w:rFonts w:hint="eastAsia"/>
        </w:rPr>
        <w:t>109</w:t>
      </w:r>
    </w:p>
    <w:p w14:paraId="726931BA" w14:textId="77777777" w:rsidR="006A1741" w:rsidRDefault="00000000">
      <w:pPr>
        <w:ind w:left="3780" w:hangingChars="1800" w:hanging="3780"/>
      </w:pPr>
      <w:r>
        <w:rPr>
          <w:rFonts w:hint="eastAsia"/>
        </w:rPr>
        <w:t xml:space="preserve">                          </w:t>
      </w:r>
      <w:r>
        <w:rPr>
          <w:rFonts w:hint="eastAsia"/>
        </w:rPr>
        <w:t>课程调整：国家法定假期放假和调课安排，以学校统一安排为准。如学校无统一安排调课，则课程顺延，不再补课。</w:t>
      </w:r>
      <w:r>
        <w:rPr>
          <w:rFonts w:hint="eastAsia"/>
        </w:rPr>
        <w:t xml:space="preserve"> </w:t>
      </w:r>
    </w:p>
    <w:p w14:paraId="580E2B0F" w14:textId="77777777" w:rsidR="006A1741" w:rsidRDefault="00000000">
      <w:r>
        <w:rPr>
          <w:rFonts w:hint="eastAsia"/>
        </w:rPr>
        <w:t xml:space="preserve">                          </w:t>
      </w:r>
      <w:r>
        <w:rPr>
          <w:rFonts w:hint="eastAsia"/>
        </w:rPr>
        <w:t>期终考试时间：</w:t>
      </w:r>
      <w:r>
        <w:rPr>
          <w:rFonts w:hint="eastAsia"/>
        </w:rPr>
        <w:t>2025</w:t>
      </w:r>
      <w:r>
        <w:rPr>
          <w:rFonts w:hint="eastAsia"/>
        </w:rPr>
        <w:t>年</w:t>
      </w:r>
      <w:r>
        <w:rPr>
          <w:rFonts w:hint="eastAsia"/>
        </w:rPr>
        <w:t>6</w:t>
      </w:r>
      <w:r>
        <w:rPr>
          <w:rFonts w:hint="eastAsia"/>
        </w:rPr>
        <w:t>月</w:t>
      </w:r>
      <w:r>
        <w:rPr>
          <w:rFonts w:hint="eastAsia"/>
        </w:rPr>
        <w:t>13</w:t>
      </w:r>
      <w:r>
        <w:rPr>
          <w:rFonts w:hint="eastAsia"/>
        </w:rPr>
        <w:t>日。</w:t>
      </w:r>
    </w:p>
    <w:p w14:paraId="1EDDD487" w14:textId="77777777" w:rsidR="006A1741" w:rsidRDefault="006A1741"/>
    <w:p w14:paraId="7C681CDA" w14:textId="77777777" w:rsidR="006A1741" w:rsidRDefault="00000000">
      <w:pPr>
        <w:rPr>
          <w:rFonts w:ascii="Adobe 黑体 Std R" w:eastAsia="Adobe 黑体 Std R" w:hAnsi="Adobe 黑体 Std R"/>
          <w:lang w:val="de-CH" w:eastAsia="zh"/>
        </w:rPr>
      </w:pPr>
      <w:r>
        <w:rPr>
          <w:rFonts w:ascii="Adobe 黑体 Std R" w:eastAsia="Adobe 黑体 Std R" w:hAnsi="Adobe 黑体 Std R" w:hint="eastAsia"/>
          <w:b/>
          <w:bCs/>
          <w:lang w:val="de-CH"/>
        </w:rPr>
        <w:t>教学学时分配表</w:t>
      </w:r>
      <w:r>
        <w:rPr>
          <w:rFonts w:ascii="Adobe 黑体 Std R" w:eastAsia="Adobe 黑体 Std R" w:hAnsi="Adobe 黑体 Std R" w:hint="eastAsia"/>
          <w:b/>
          <w:bCs/>
          <w:lang w:val="de-CH" w:eastAsia="zh"/>
        </w:rPr>
        <w:t>：</w:t>
      </w:r>
    </w:p>
    <w:tbl>
      <w:tblPr>
        <w:tblStyle w:val="a8"/>
        <w:tblW w:w="0" w:type="auto"/>
        <w:tblLook w:val="04A0" w:firstRow="1" w:lastRow="0" w:firstColumn="1" w:lastColumn="0" w:noHBand="0" w:noVBand="1"/>
      </w:tblPr>
      <w:tblGrid>
        <w:gridCol w:w="1047"/>
        <w:gridCol w:w="927"/>
        <w:gridCol w:w="1552"/>
        <w:gridCol w:w="1552"/>
        <w:gridCol w:w="1876"/>
        <w:gridCol w:w="1342"/>
      </w:tblGrid>
      <w:tr w:rsidR="006A1741" w14:paraId="13564585" w14:textId="77777777">
        <w:tc>
          <w:tcPr>
            <w:tcW w:w="1129" w:type="dxa"/>
          </w:tcPr>
          <w:p w14:paraId="4127E137" w14:textId="77777777" w:rsidR="006A1741" w:rsidRDefault="00000000">
            <w:pPr>
              <w:jc w:val="center"/>
              <w:rPr>
                <w:lang w:val="de-CH"/>
              </w:rPr>
            </w:pPr>
            <w:r>
              <w:rPr>
                <w:rFonts w:hint="eastAsia"/>
                <w:lang w:val="de-CH"/>
              </w:rPr>
              <w:t>学分</w:t>
            </w:r>
          </w:p>
        </w:tc>
        <w:tc>
          <w:tcPr>
            <w:tcW w:w="993" w:type="dxa"/>
          </w:tcPr>
          <w:p w14:paraId="31F7C4C9" w14:textId="77777777" w:rsidR="006A1741" w:rsidRDefault="00000000">
            <w:pPr>
              <w:jc w:val="center"/>
              <w:rPr>
                <w:lang w:val="de-CH"/>
              </w:rPr>
            </w:pPr>
            <w:r>
              <w:rPr>
                <w:rFonts w:hint="eastAsia"/>
                <w:lang w:val="de-CH"/>
              </w:rPr>
              <w:t>总学时</w:t>
            </w:r>
          </w:p>
        </w:tc>
        <w:tc>
          <w:tcPr>
            <w:tcW w:w="1701" w:type="dxa"/>
          </w:tcPr>
          <w:p w14:paraId="094529A4" w14:textId="77777777" w:rsidR="006A1741" w:rsidRDefault="00000000">
            <w:pPr>
              <w:jc w:val="center"/>
              <w:rPr>
                <w:lang w:val="de-CH"/>
              </w:rPr>
            </w:pPr>
            <w:r>
              <w:rPr>
                <w:rFonts w:hint="eastAsia"/>
                <w:lang w:val="de-CH"/>
              </w:rPr>
              <w:t>理论教学学时</w:t>
            </w:r>
          </w:p>
        </w:tc>
        <w:tc>
          <w:tcPr>
            <w:tcW w:w="1701" w:type="dxa"/>
          </w:tcPr>
          <w:p w14:paraId="3D5B2B28" w14:textId="77777777" w:rsidR="006A1741" w:rsidRDefault="00000000">
            <w:pPr>
              <w:jc w:val="center"/>
              <w:rPr>
                <w:lang w:val="de-CH"/>
              </w:rPr>
            </w:pPr>
            <w:r>
              <w:rPr>
                <w:rFonts w:hint="eastAsia"/>
                <w:lang w:val="de-CH"/>
              </w:rPr>
              <w:t>实践教学学时</w:t>
            </w:r>
          </w:p>
        </w:tc>
        <w:tc>
          <w:tcPr>
            <w:tcW w:w="2067" w:type="dxa"/>
          </w:tcPr>
          <w:p w14:paraId="6D93684F" w14:textId="77777777" w:rsidR="006A1741" w:rsidRDefault="00000000">
            <w:pPr>
              <w:jc w:val="center"/>
              <w:rPr>
                <w:lang w:val="de-CH"/>
              </w:rPr>
            </w:pPr>
            <w:r>
              <w:rPr>
                <w:rFonts w:hint="eastAsia"/>
                <w:lang w:val="de-CH"/>
              </w:rPr>
              <w:t>实验教学学时</w:t>
            </w:r>
          </w:p>
        </w:tc>
        <w:tc>
          <w:tcPr>
            <w:tcW w:w="1463" w:type="dxa"/>
          </w:tcPr>
          <w:p w14:paraId="4B15832D" w14:textId="77777777" w:rsidR="006A1741" w:rsidRDefault="00000000">
            <w:pPr>
              <w:jc w:val="center"/>
              <w:rPr>
                <w:lang w:val="de-CH"/>
              </w:rPr>
            </w:pPr>
            <w:r>
              <w:rPr>
                <w:rFonts w:hint="eastAsia"/>
                <w:lang w:val="de-CH"/>
              </w:rPr>
              <w:t>其他</w:t>
            </w:r>
          </w:p>
        </w:tc>
      </w:tr>
      <w:tr w:rsidR="006A1741" w14:paraId="3771FECC" w14:textId="77777777">
        <w:tc>
          <w:tcPr>
            <w:tcW w:w="1129" w:type="dxa"/>
          </w:tcPr>
          <w:p w14:paraId="6FB5AF91" w14:textId="77777777" w:rsidR="006A1741" w:rsidRDefault="00000000">
            <w:pPr>
              <w:jc w:val="center"/>
              <w:rPr>
                <w:lang w:val="de-CH" w:eastAsia="zh"/>
              </w:rPr>
            </w:pPr>
            <w:r>
              <w:rPr>
                <w:rFonts w:hint="eastAsia"/>
                <w:lang w:val="de-CH" w:eastAsia="zh"/>
              </w:rPr>
              <w:t>2</w:t>
            </w:r>
          </w:p>
        </w:tc>
        <w:tc>
          <w:tcPr>
            <w:tcW w:w="993" w:type="dxa"/>
          </w:tcPr>
          <w:p w14:paraId="281D4CFB" w14:textId="77777777" w:rsidR="006A1741" w:rsidRDefault="00000000">
            <w:pPr>
              <w:jc w:val="center"/>
            </w:pPr>
            <w:r>
              <w:rPr>
                <w:rFonts w:hint="eastAsia"/>
                <w:lang w:val="de-CH" w:eastAsia="zh"/>
              </w:rPr>
              <w:t>3</w:t>
            </w:r>
            <w:r>
              <w:rPr>
                <w:rFonts w:hint="eastAsia"/>
              </w:rPr>
              <w:t>2</w:t>
            </w:r>
          </w:p>
        </w:tc>
        <w:tc>
          <w:tcPr>
            <w:tcW w:w="1701" w:type="dxa"/>
          </w:tcPr>
          <w:p w14:paraId="071F040A" w14:textId="77777777" w:rsidR="006A1741" w:rsidRDefault="00000000">
            <w:pPr>
              <w:jc w:val="center"/>
              <w:rPr>
                <w:lang w:val="de-CH" w:eastAsia="zh"/>
              </w:rPr>
            </w:pPr>
            <w:r>
              <w:rPr>
                <w:rFonts w:hint="eastAsia"/>
                <w:lang w:val="de-CH" w:eastAsia="zh"/>
              </w:rPr>
              <w:t>32</w:t>
            </w:r>
          </w:p>
        </w:tc>
        <w:tc>
          <w:tcPr>
            <w:tcW w:w="1701" w:type="dxa"/>
          </w:tcPr>
          <w:p w14:paraId="4BEAB8B7" w14:textId="77777777" w:rsidR="006A1741" w:rsidRDefault="00000000">
            <w:pPr>
              <w:jc w:val="center"/>
              <w:rPr>
                <w:lang w:val="de-CH"/>
              </w:rPr>
            </w:pPr>
            <w:r>
              <w:rPr>
                <w:rFonts w:hint="eastAsia"/>
                <w:lang w:val="de-CH"/>
              </w:rPr>
              <w:t>0</w:t>
            </w:r>
          </w:p>
        </w:tc>
        <w:tc>
          <w:tcPr>
            <w:tcW w:w="2067" w:type="dxa"/>
          </w:tcPr>
          <w:p w14:paraId="06BD3075" w14:textId="77777777" w:rsidR="006A1741" w:rsidRDefault="00000000">
            <w:pPr>
              <w:jc w:val="center"/>
              <w:rPr>
                <w:lang w:val="de-CH"/>
              </w:rPr>
            </w:pPr>
            <w:r>
              <w:rPr>
                <w:rFonts w:hint="eastAsia"/>
                <w:lang w:val="de-CH"/>
              </w:rPr>
              <w:t>0</w:t>
            </w:r>
          </w:p>
        </w:tc>
        <w:tc>
          <w:tcPr>
            <w:tcW w:w="1463" w:type="dxa"/>
          </w:tcPr>
          <w:p w14:paraId="22F8A22B" w14:textId="77777777" w:rsidR="006A1741" w:rsidRDefault="00000000">
            <w:pPr>
              <w:jc w:val="center"/>
              <w:rPr>
                <w:lang w:val="de-CH"/>
              </w:rPr>
            </w:pPr>
            <w:r>
              <w:rPr>
                <w:rFonts w:hint="eastAsia"/>
              </w:rPr>
              <w:t>0</w:t>
            </w:r>
          </w:p>
        </w:tc>
      </w:tr>
    </w:tbl>
    <w:p w14:paraId="2B48B446" w14:textId="77777777" w:rsidR="006A1741" w:rsidRDefault="006A1741">
      <w:pPr>
        <w:rPr>
          <w:b/>
        </w:rPr>
      </w:pPr>
    </w:p>
    <w:p w14:paraId="790E8793" w14:textId="77777777" w:rsidR="006A1741" w:rsidRDefault="006A1741"/>
    <w:p w14:paraId="0D9E9B28" w14:textId="77777777" w:rsidR="006A1741" w:rsidRDefault="00000000">
      <w:r>
        <w:rPr>
          <w:rFonts w:hint="eastAsia"/>
          <w:b/>
        </w:rPr>
        <w:t>课件网址：</w:t>
      </w:r>
      <w:r>
        <w:rPr>
          <w:rFonts w:hint="eastAsia"/>
        </w:rPr>
        <w:t xml:space="preserve">                https://canvas.shufe.edu.cn/courses/31520</w:t>
      </w:r>
    </w:p>
    <w:p w14:paraId="220DFCF3" w14:textId="77777777" w:rsidR="006A1741" w:rsidRDefault="006A1741"/>
    <w:p w14:paraId="18519593" w14:textId="77777777" w:rsidR="006A1741" w:rsidRDefault="00000000">
      <w:pPr>
        <w:spacing w:afterLines="30" w:after="93"/>
        <w:rPr>
          <w:b/>
        </w:rPr>
      </w:pPr>
      <w:r>
        <w:rPr>
          <w:rFonts w:hint="eastAsia"/>
          <w:b/>
        </w:rPr>
        <w:t>教材和参考书目：</w:t>
      </w:r>
    </w:p>
    <w:p w14:paraId="4E088183" w14:textId="77777777" w:rsidR="006A1741" w:rsidRDefault="00000000">
      <w:pPr>
        <w:ind w:firstLine="435"/>
      </w:pPr>
      <w:r>
        <w:rPr>
          <w:rFonts w:hint="eastAsia"/>
        </w:rPr>
        <w:t>指定教材：《民法学》，王利明、王卫国、陈小君，高等教育出版社</w:t>
      </w:r>
      <w:r>
        <w:rPr>
          <w:rFonts w:hint="eastAsia"/>
        </w:rPr>
        <w:t>2019</w:t>
      </w:r>
      <w:r>
        <w:rPr>
          <w:rFonts w:hint="eastAsia"/>
        </w:rPr>
        <w:t>年版</w:t>
      </w:r>
    </w:p>
    <w:p w14:paraId="0ACBEE17" w14:textId="77777777" w:rsidR="006A1741" w:rsidRDefault="00000000">
      <w:pPr>
        <w:ind w:leftChars="206" w:left="1483" w:hangingChars="500" w:hanging="1050"/>
      </w:pPr>
      <w:r>
        <w:rPr>
          <w:rFonts w:hint="eastAsia"/>
        </w:rPr>
        <w:t xml:space="preserve">         </w:t>
      </w:r>
    </w:p>
    <w:p w14:paraId="7DFF8886" w14:textId="77777777" w:rsidR="006A1741" w:rsidRDefault="00000000">
      <w:pPr>
        <w:ind w:firstLine="435"/>
      </w:pPr>
      <w:r>
        <w:rPr>
          <w:rFonts w:hint="eastAsia"/>
        </w:rPr>
        <w:t>参考书目：《民法总论》（第六版），梁慧星著，法律出版社，</w:t>
      </w:r>
      <w:r>
        <w:rPr>
          <w:rFonts w:hint="eastAsia"/>
        </w:rPr>
        <w:t>2021</w:t>
      </w:r>
      <w:r>
        <w:rPr>
          <w:rFonts w:hint="eastAsia"/>
        </w:rPr>
        <w:t>年出版</w:t>
      </w:r>
    </w:p>
    <w:p w14:paraId="18C95B35" w14:textId="77777777" w:rsidR="006A1741" w:rsidRDefault="00000000">
      <w:pPr>
        <w:ind w:firstLine="435"/>
      </w:pPr>
      <w:r>
        <w:rPr>
          <w:rFonts w:hint="eastAsia"/>
        </w:rPr>
        <w:t xml:space="preserve">         </w:t>
      </w:r>
      <w:r>
        <w:rPr>
          <w:rFonts w:hint="eastAsia"/>
        </w:rPr>
        <w:t>《民法总论》（第二版），朱庆育著，北京大学出版社，</w:t>
      </w:r>
      <w:r>
        <w:rPr>
          <w:rFonts w:hint="eastAsia"/>
        </w:rPr>
        <w:t>2016</w:t>
      </w:r>
      <w:r>
        <w:rPr>
          <w:rFonts w:hint="eastAsia"/>
        </w:rPr>
        <w:t>年出版</w:t>
      </w:r>
    </w:p>
    <w:p w14:paraId="44301246" w14:textId="77777777" w:rsidR="006A1741" w:rsidRDefault="00000000">
      <w:pPr>
        <w:ind w:firstLineChars="657" w:firstLine="1380"/>
      </w:pPr>
      <w:r>
        <w:rPr>
          <w:rFonts w:hint="eastAsia"/>
        </w:rPr>
        <w:t>《民法总则》，王泽鉴著，北京大学出版社，</w:t>
      </w:r>
      <w:r>
        <w:rPr>
          <w:rFonts w:hint="eastAsia"/>
        </w:rPr>
        <w:t>2009</w:t>
      </w:r>
      <w:r>
        <w:rPr>
          <w:rFonts w:hint="eastAsia"/>
        </w:rPr>
        <w:t>年出版</w:t>
      </w:r>
      <w:r>
        <w:rPr>
          <w:rFonts w:hint="eastAsia"/>
        </w:rPr>
        <w:t xml:space="preserve">         </w:t>
      </w:r>
    </w:p>
    <w:p w14:paraId="3476BB7F" w14:textId="77777777" w:rsidR="006A1741" w:rsidRDefault="006A1741"/>
    <w:p w14:paraId="510EE3DE" w14:textId="77777777" w:rsidR="006A1741" w:rsidRDefault="00000000">
      <w:r>
        <w:rPr>
          <w:rFonts w:hint="eastAsia"/>
          <w:b/>
        </w:rPr>
        <w:t>预备知识</w:t>
      </w:r>
      <w:r>
        <w:rPr>
          <w:rFonts w:hint="eastAsia"/>
          <w:b/>
          <w:lang w:eastAsia="zh"/>
        </w:rPr>
        <w:t>：</w:t>
      </w:r>
      <w:r>
        <w:rPr>
          <w:rFonts w:hint="eastAsia"/>
          <w:lang w:eastAsia="zh"/>
        </w:rPr>
        <w:t>无</w:t>
      </w:r>
    </w:p>
    <w:p w14:paraId="2DCA11AC" w14:textId="77777777" w:rsidR="006A1741" w:rsidRDefault="006A1741"/>
    <w:p w14:paraId="59E619D2" w14:textId="77777777" w:rsidR="006A1741" w:rsidRDefault="00000000">
      <w:pPr>
        <w:spacing w:afterLines="30" w:after="93"/>
        <w:rPr>
          <w:b/>
        </w:rPr>
      </w:pPr>
      <w:r>
        <w:rPr>
          <w:rFonts w:hint="eastAsia"/>
          <w:b/>
        </w:rPr>
        <w:t>先修课程：</w:t>
      </w:r>
      <w:r>
        <w:rPr>
          <w:rFonts w:hint="eastAsia"/>
        </w:rPr>
        <w:t>《法理学》《宪法学》</w:t>
      </w:r>
    </w:p>
    <w:p w14:paraId="6F5767AA" w14:textId="77777777" w:rsidR="006A1741" w:rsidRDefault="006A1741"/>
    <w:p w14:paraId="26CFE2D6" w14:textId="77777777" w:rsidR="006A1741" w:rsidRDefault="00000000">
      <w:pPr>
        <w:spacing w:afterLines="30" w:after="93"/>
        <w:rPr>
          <w:b/>
        </w:rPr>
      </w:pPr>
      <w:r>
        <w:rPr>
          <w:rFonts w:hint="eastAsia"/>
          <w:b/>
        </w:rPr>
        <w:t>课程达成目标</w:t>
      </w:r>
      <w:r>
        <w:rPr>
          <w:b/>
        </w:rPr>
        <w:tab/>
      </w:r>
    </w:p>
    <w:p w14:paraId="4B3D04E8" w14:textId="77777777" w:rsidR="006A1741" w:rsidRDefault="00000000">
      <w:pPr>
        <w:tabs>
          <w:tab w:val="left" w:pos="3610"/>
        </w:tabs>
        <w:ind w:firstLineChars="200" w:firstLine="420"/>
      </w:pPr>
      <w:r>
        <w:rPr>
          <w:rFonts w:hint="eastAsia"/>
        </w:rPr>
        <w:t>本课程以民法总则为主要内容，依托我国《民法典》的制度框架和规则设计，一方面向</w:t>
      </w:r>
      <w:r>
        <w:rPr>
          <w:rFonts w:hint="eastAsia"/>
        </w:rPr>
        <w:lastRenderedPageBreak/>
        <w:t>学生传授民法的实证规范、基本法理和价值观念；另一方面，也引导学生将理论知识和法律规定应用于具体案例的分析和解决；同时，在适当的位置嵌入比较法的立法经验、司法裁判和理论范式。学生学完《民法学》课程后，在知识水平方面，基本掌握我国《民法典》规范的内涵及其理解适用，对民法学的体系框架、基础原理、应用方法有清晰的认识；在能力水平方面，学生形成逻辑严谨、概念精确、推理严密的法律思维方式，具备运用民法原理和民法规范分析和解决民事案例的能力。</w:t>
      </w:r>
    </w:p>
    <w:p w14:paraId="579B3226" w14:textId="77777777" w:rsidR="006A1741" w:rsidRDefault="006A1741">
      <w:pPr>
        <w:tabs>
          <w:tab w:val="left" w:pos="3610"/>
        </w:tabs>
      </w:pPr>
    </w:p>
    <w:p w14:paraId="43AF793B" w14:textId="77777777" w:rsidR="006A1741" w:rsidRDefault="00000000">
      <w:pPr>
        <w:tabs>
          <w:tab w:val="left" w:pos="3610"/>
        </w:tabs>
        <w:spacing w:line="400" w:lineRule="exact"/>
        <w:rPr>
          <w:b/>
        </w:rPr>
      </w:pPr>
      <w:r>
        <w:rPr>
          <w:b/>
        </w:rPr>
        <w:t>课程设置知识要求：</w:t>
      </w:r>
    </w:p>
    <w:p w14:paraId="0C12A2EC" w14:textId="77777777" w:rsidR="006A1741" w:rsidRDefault="00000000">
      <w:pPr>
        <w:tabs>
          <w:tab w:val="left" w:pos="3610"/>
        </w:tabs>
        <w:ind w:firstLineChars="200" w:firstLine="420"/>
      </w:pPr>
      <w:r>
        <w:rPr>
          <w:rFonts w:hint="eastAsia"/>
        </w:rPr>
        <w:t>本课程要求学生深度掌握民法请求权规范体系的核心知识：在民法总则基础上，系统构建法律行为效力规则、代理制度要义及诉讼时效制度的理论基础，精准辨析物权编物上请求权、合同编债权请求权与侵权编损害赔偿请求权的规范构成要件与竞合关系；同时须精通德式请求权基础分析方法论，包括检视阶层技术的主体适格性验证、权利成立要件判断、权利存续状态审查及可实现性评估的完整逻辑框架，并理解比较法视野下大陆法系主要立法体例（如德国民法、我国台湾地区民法）对请求权规范设计的差异化范式。</w:t>
      </w:r>
    </w:p>
    <w:p w14:paraId="31FD6B27" w14:textId="77777777" w:rsidR="006A1741" w:rsidRDefault="00000000">
      <w:pPr>
        <w:tabs>
          <w:tab w:val="left" w:pos="3610"/>
        </w:tabs>
        <w:ind w:firstLineChars="200" w:firstLine="420"/>
      </w:pPr>
      <w:r>
        <w:rPr>
          <w:rFonts w:hint="eastAsia"/>
        </w:rPr>
        <w:t>学生需通过实例研习内化知识应用场景：在复杂民事法律关系中定位核心请求权基础，处理多重抗辩权对抗情境下的规范冲突；掌握多主体连环交易中瑕疵担保请求权传导的体系化解构技术，以及在损害赔偿计算中平衡实际损失与可得利益的理论模型；同步渗透禁止权利滥用原则的权利边界认知，强化诚信原则在司法实践中的量化标准理解，形成兼顾本土规范特色与比较法经验的请求权知识体系。</w:t>
      </w:r>
    </w:p>
    <w:p w14:paraId="5C45A09B" w14:textId="77777777" w:rsidR="006A1741" w:rsidRDefault="006A1741">
      <w:pPr>
        <w:tabs>
          <w:tab w:val="left" w:pos="3610"/>
        </w:tabs>
        <w:ind w:firstLineChars="200" w:firstLine="420"/>
      </w:pPr>
    </w:p>
    <w:p w14:paraId="090C03C3" w14:textId="77777777" w:rsidR="006A1741" w:rsidRDefault="00000000">
      <w:pPr>
        <w:tabs>
          <w:tab w:val="left" w:pos="3610"/>
        </w:tabs>
        <w:spacing w:line="400" w:lineRule="exact"/>
      </w:pPr>
      <w:r>
        <w:rPr>
          <w:b/>
        </w:rPr>
        <w:t>课程设置能力要求</w:t>
      </w:r>
      <w:r>
        <w:t>：</w:t>
      </w:r>
    </w:p>
    <w:p w14:paraId="45813935" w14:textId="77777777" w:rsidR="006A1741" w:rsidRDefault="00000000">
      <w:pPr>
        <w:tabs>
          <w:tab w:val="left" w:pos="3610"/>
        </w:tabs>
        <w:ind w:firstLineChars="200" w:firstLine="420"/>
      </w:pPr>
      <w:r>
        <w:rPr>
          <w:rFonts w:hint="eastAsia"/>
        </w:rPr>
        <w:t>本课程要求学生在已系统掌握《民法典》规范内涵、民法体系框架与基础原理的前提下，深化对请求权基础理论的理解与应用能力。学生需精准掌握各类请求权（如合同、物权、侵权、不当得利等）的规范构成要件、法律效果及其竞合顺位（合同→类合同→无因管理→物权→侵权→不当得利），并能熟练运用《民法典》总则与分则规则，辨析复杂案例中的权利变动（如合同效力瑕疵对物权请求的影响）与抗辩权体系（消灭</w:t>
      </w:r>
      <w:r>
        <w:rPr>
          <w:rFonts w:hint="eastAsia"/>
        </w:rPr>
        <w:t>/</w:t>
      </w:r>
      <w:r>
        <w:rPr>
          <w:rFonts w:hint="eastAsia"/>
        </w:rPr>
        <w:t>障碍抗辩），同时具备整合比较法立法经验与理论范式以辅助本土问题解决的能力。</w:t>
      </w:r>
    </w:p>
    <w:p w14:paraId="50C5FF95" w14:textId="77777777" w:rsidR="006A1741" w:rsidRDefault="00000000">
      <w:pPr>
        <w:tabs>
          <w:tab w:val="left" w:pos="3610"/>
        </w:tabs>
        <w:ind w:firstLineChars="200" w:firstLine="420"/>
      </w:pPr>
      <w:r>
        <w:rPr>
          <w:rFonts w:hint="eastAsia"/>
        </w:rPr>
        <w:t>在此基础上，本课程着重培养学生形成逻辑严谨、概念精确、推理严密的法律思维，并具备运用民法原理与规范解决复杂实务问题的核心能力。具体包括：能够精准检索并运用请求权基础（明确“谁向谁、依据何规范、主张何种权利”），通过将案件事实分解为法律要件并系统检验“请求权成立→未消灭→可执行”三阶结构完成严密涵摄；能够撰写逻辑清晰、论证充分的法律文书（如案例研习报告），准确提炼事实、归纳焦点、解释规范并推导结论；能够在模拟实务场景（如诉讼策略设计）中有效识别多重法律关系的互动与权利冲突（如合同无效后返还原物与不当得利的交叉），运用比例原则、诚信原则进行价值权衡与批判性论证，最终形成以预防和解决民事纠纷为导向的实践能力。</w:t>
      </w:r>
    </w:p>
    <w:p w14:paraId="1E71F1A9" w14:textId="77777777" w:rsidR="006A1741" w:rsidRDefault="006A1741">
      <w:pPr>
        <w:tabs>
          <w:tab w:val="left" w:pos="3610"/>
        </w:tabs>
      </w:pPr>
    </w:p>
    <w:p w14:paraId="4183D940" w14:textId="77777777" w:rsidR="006A1741" w:rsidRDefault="00000000">
      <w:pPr>
        <w:spacing w:afterLines="30" w:after="93"/>
        <w:rPr>
          <w:b/>
        </w:rPr>
      </w:pPr>
      <w:r>
        <w:rPr>
          <w:rFonts w:hint="eastAsia"/>
          <w:b/>
        </w:rPr>
        <w:t>课程考核形式</w:t>
      </w:r>
    </w:p>
    <w:p w14:paraId="36782E0C" w14:textId="77777777" w:rsidR="006A1741" w:rsidRDefault="00000000">
      <w:pPr>
        <w:tabs>
          <w:tab w:val="left" w:pos="3610"/>
        </w:tabs>
      </w:pPr>
      <w:r>
        <w:rPr>
          <w:rFonts w:hint="eastAsia"/>
        </w:rPr>
        <w:t xml:space="preserve">   </w:t>
      </w:r>
      <w:r>
        <w:rPr>
          <w:rFonts w:hint="eastAsia"/>
        </w:rPr>
        <w:t>将各章节内容适时举行课堂讨论，一般在学完各章基本内容之后，用</w:t>
      </w:r>
      <w:r>
        <w:rPr>
          <w:rFonts w:hint="eastAsia"/>
        </w:rPr>
        <w:t>15</w:t>
      </w:r>
      <w:r>
        <w:rPr>
          <w:rFonts w:hint="eastAsia"/>
        </w:rPr>
        <w:t>分钟的时间结合课程重点，展开讨论。另外，为加深学生对知识原理的理解和运用，留一定的课后作业。课程最终</w:t>
      </w:r>
      <w:r>
        <w:rPr>
          <w:rFonts w:hint="eastAsia"/>
          <w:b/>
          <w:bCs/>
        </w:rPr>
        <w:t>论文</w:t>
      </w:r>
      <w:r>
        <w:rPr>
          <w:rFonts w:hint="eastAsia"/>
        </w:rPr>
        <w:t>考核</w:t>
      </w:r>
    </w:p>
    <w:p w14:paraId="3B8B4472" w14:textId="77777777" w:rsidR="006A1741" w:rsidRDefault="00000000">
      <w:pPr>
        <w:tabs>
          <w:tab w:val="left" w:pos="3610"/>
        </w:tabs>
        <w:ind w:firstLine="435"/>
      </w:pPr>
      <w:r>
        <w:rPr>
          <w:rFonts w:hint="eastAsia"/>
        </w:rPr>
        <w:t>三次课后作业</w:t>
      </w:r>
      <w:r>
        <w:rPr>
          <w:rFonts w:hint="eastAsia"/>
        </w:rPr>
        <w:t xml:space="preserve">                       </w:t>
      </w:r>
      <w:r>
        <w:rPr>
          <w:rFonts w:hint="eastAsia"/>
        </w:rPr>
        <w:t>各</w:t>
      </w:r>
      <w:r>
        <w:rPr>
          <w:rFonts w:hint="eastAsia"/>
        </w:rPr>
        <w:t>20%</w:t>
      </w:r>
    </w:p>
    <w:p w14:paraId="68CDAB31" w14:textId="77777777" w:rsidR="006A1741" w:rsidRDefault="00000000">
      <w:pPr>
        <w:tabs>
          <w:tab w:val="left" w:pos="3610"/>
        </w:tabs>
        <w:ind w:firstLine="435"/>
      </w:pPr>
      <w:r>
        <w:rPr>
          <w:rFonts w:hint="eastAsia"/>
        </w:rPr>
        <w:t>论文</w:t>
      </w:r>
      <w:r>
        <w:rPr>
          <w:rFonts w:hint="eastAsia"/>
        </w:rPr>
        <w:t xml:space="preserve">                               40%</w:t>
      </w:r>
    </w:p>
    <w:p w14:paraId="6F50671C" w14:textId="77777777" w:rsidR="006A1741" w:rsidRDefault="006A1741">
      <w:pPr>
        <w:tabs>
          <w:tab w:val="left" w:pos="3610"/>
        </w:tabs>
        <w:rPr>
          <w:b/>
        </w:rPr>
      </w:pPr>
    </w:p>
    <w:p w14:paraId="1D0786F0" w14:textId="77777777" w:rsidR="006A1741" w:rsidRDefault="00000000">
      <w:pPr>
        <w:tabs>
          <w:tab w:val="left" w:pos="3610"/>
        </w:tabs>
        <w:rPr>
          <w:b/>
        </w:rPr>
      </w:pPr>
      <w:r>
        <w:rPr>
          <w:rFonts w:hint="eastAsia"/>
          <w:b/>
        </w:rPr>
        <w:lastRenderedPageBreak/>
        <w:t>试卷结构</w:t>
      </w:r>
      <w:r>
        <w:rPr>
          <w:rFonts w:hint="eastAsia"/>
          <w:b/>
        </w:rPr>
        <w:t>:</w:t>
      </w:r>
    </w:p>
    <w:p w14:paraId="758FDBED" w14:textId="77777777" w:rsidR="006A1741" w:rsidRDefault="00000000">
      <w:pPr>
        <w:tabs>
          <w:tab w:val="left" w:pos="3610"/>
        </w:tabs>
        <w:ind w:firstLineChars="300" w:firstLine="630"/>
      </w:pPr>
      <w:r>
        <w:rPr>
          <w:rFonts w:hint="eastAsia"/>
        </w:rPr>
        <w:t>一道案例分析题</w:t>
      </w:r>
      <w:r>
        <w:rPr>
          <w:rFonts w:hint="eastAsia"/>
        </w:rPr>
        <w:t xml:space="preserve">                   100%</w:t>
      </w:r>
    </w:p>
    <w:p w14:paraId="2121037D" w14:textId="77777777" w:rsidR="006A1741" w:rsidRDefault="006A1741">
      <w:pPr>
        <w:tabs>
          <w:tab w:val="left" w:pos="3610"/>
        </w:tabs>
      </w:pPr>
    </w:p>
    <w:p w14:paraId="6EFF5DD3" w14:textId="77777777" w:rsidR="006A1741" w:rsidRDefault="00000000">
      <w:pPr>
        <w:spacing w:afterLines="30" w:after="93"/>
        <w:rPr>
          <w:b/>
        </w:rPr>
      </w:pPr>
      <w:r>
        <w:rPr>
          <w:rFonts w:hint="eastAsia"/>
          <w:b/>
        </w:rPr>
        <w:t>学术诚实</w:t>
      </w:r>
    </w:p>
    <w:p w14:paraId="151F2057" w14:textId="77777777" w:rsidR="006A1741" w:rsidRDefault="00000000">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00FC0B63" w14:textId="77777777" w:rsidR="006A1741" w:rsidRDefault="006A1741">
      <w:pPr>
        <w:tabs>
          <w:tab w:val="left" w:pos="3610"/>
        </w:tabs>
      </w:pPr>
    </w:p>
    <w:p w14:paraId="61F19F8E" w14:textId="77777777" w:rsidR="006A1741" w:rsidRDefault="00000000">
      <w:pPr>
        <w:tabs>
          <w:tab w:val="left" w:pos="3610"/>
        </w:tabs>
        <w:jc w:val="center"/>
        <w:rPr>
          <w:b/>
          <w:sz w:val="36"/>
          <w:szCs w:val="36"/>
        </w:rPr>
      </w:pPr>
      <w:r>
        <w:rPr>
          <w:rFonts w:hint="eastAsia"/>
          <w:b/>
          <w:sz w:val="36"/>
          <w:szCs w:val="36"/>
        </w:rPr>
        <w:t>《民法请求权分析实例研习（二）》课程教学要点</w:t>
      </w:r>
    </w:p>
    <w:p w14:paraId="77CA9D86" w14:textId="77777777" w:rsidR="006A1741" w:rsidRDefault="00000000">
      <w:pPr>
        <w:jc w:val="center"/>
        <w:rPr>
          <w:b/>
          <w:sz w:val="32"/>
          <w:szCs w:val="32"/>
        </w:rPr>
      </w:pPr>
      <w:r>
        <w:rPr>
          <w:rFonts w:hint="eastAsia"/>
          <w:b/>
          <w:sz w:val="32"/>
          <w:szCs w:val="32"/>
        </w:rPr>
        <w:t>教学大纲</w:t>
      </w:r>
    </w:p>
    <w:p w14:paraId="6AC0550C" w14:textId="77777777" w:rsidR="006A1741" w:rsidRDefault="006A1741">
      <w:pPr>
        <w:tabs>
          <w:tab w:val="left" w:pos="3610"/>
        </w:tabs>
        <w:rPr>
          <w:b/>
        </w:rPr>
      </w:pPr>
    </w:p>
    <w:p w14:paraId="56AB5852" w14:textId="3EBCE5A7" w:rsidR="006A1741" w:rsidRDefault="00000000">
      <w:pPr>
        <w:spacing w:afterLines="50" w:after="156"/>
        <w:rPr>
          <w:b/>
          <w:bCs/>
        </w:rPr>
      </w:pPr>
      <w:r>
        <w:rPr>
          <w:rFonts w:hint="eastAsia"/>
          <w:b/>
          <w:bCs/>
        </w:rPr>
        <w:t>第一</w:t>
      </w:r>
      <w:r w:rsidR="00EA40E6">
        <w:rPr>
          <w:rFonts w:hint="eastAsia"/>
          <w:b/>
          <w:bCs/>
        </w:rPr>
        <w:t>、二、三</w:t>
      </w:r>
      <w:r>
        <w:rPr>
          <w:rFonts w:hint="eastAsia"/>
          <w:b/>
          <w:bCs/>
        </w:rPr>
        <w:t>讲</w:t>
      </w:r>
      <w:r>
        <w:rPr>
          <w:rFonts w:hint="eastAsia"/>
          <w:b/>
          <w:bCs/>
        </w:rPr>
        <w:t xml:space="preserve"> </w:t>
      </w:r>
      <w:r>
        <w:rPr>
          <w:rFonts w:hint="eastAsia"/>
          <w:b/>
          <w:bCs/>
        </w:rPr>
        <w:t>请求权基础分析的思维方法（重点）</w:t>
      </w:r>
    </w:p>
    <w:p w14:paraId="1766B8F6" w14:textId="77777777" w:rsidR="006A1741" w:rsidRDefault="00000000">
      <w:pPr>
        <w:ind w:firstLine="420"/>
      </w:pPr>
      <w:r>
        <w:rPr>
          <w:rFonts w:hint="eastAsia"/>
        </w:rPr>
        <w:t>本讲主要讲授请求权的性质、请求权基础思维方法的构造和运用方式。</w:t>
      </w:r>
    </w:p>
    <w:p w14:paraId="321860CC" w14:textId="77777777" w:rsidR="006A1741" w:rsidRDefault="00000000">
      <w:pPr>
        <w:ind w:firstLineChars="200" w:firstLine="428"/>
        <w:rPr>
          <w:b/>
          <w:bCs/>
        </w:rPr>
      </w:pPr>
      <w:r>
        <w:rPr>
          <w:rFonts w:hint="eastAsia"/>
          <w:b/>
          <w:bCs/>
        </w:rPr>
        <w:t>思考：</w:t>
      </w:r>
    </w:p>
    <w:p w14:paraId="2E645CDF" w14:textId="77777777" w:rsidR="006A1741" w:rsidRDefault="00000000">
      <w:pPr>
        <w:ind w:firstLineChars="200" w:firstLine="420"/>
      </w:pPr>
      <w:r>
        <w:rPr>
          <w:rFonts w:hint="eastAsia"/>
        </w:rPr>
        <w:t>民法区别于其他法律部门的核心特点在哪里？请求权与请求权基础思维方式为何重要？</w:t>
      </w:r>
    </w:p>
    <w:p w14:paraId="331E2E57" w14:textId="77777777" w:rsidR="006A1741" w:rsidRDefault="006A1741"/>
    <w:p w14:paraId="4D0D4748" w14:textId="77777777" w:rsidR="006A1741" w:rsidRDefault="006A1741">
      <w:pPr>
        <w:ind w:left="540"/>
      </w:pPr>
    </w:p>
    <w:p w14:paraId="0E1322B7" w14:textId="6B01F023" w:rsidR="00EA40E6" w:rsidRPr="00EA40E6" w:rsidRDefault="00EA40E6" w:rsidP="00EA40E6">
      <w:pPr>
        <w:rPr>
          <w:b/>
          <w:bCs/>
        </w:rPr>
      </w:pPr>
      <w:r w:rsidRPr="00EA40E6">
        <w:rPr>
          <w:rFonts w:hint="eastAsia"/>
          <w:b/>
          <w:bCs/>
        </w:rPr>
        <w:t>第四、五</w:t>
      </w:r>
      <w:r>
        <w:rPr>
          <w:rFonts w:hint="eastAsia"/>
          <w:b/>
          <w:bCs/>
        </w:rPr>
        <w:t>、六</w:t>
      </w:r>
      <w:r w:rsidRPr="00EA40E6">
        <w:rPr>
          <w:rFonts w:hint="eastAsia"/>
          <w:b/>
          <w:bCs/>
        </w:rPr>
        <w:t>讲</w:t>
      </w:r>
      <w:r w:rsidRPr="00EA40E6">
        <w:rPr>
          <w:rFonts w:hint="eastAsia"/>
          <w:b/>
          <w:bCs/>
        </w:rPr>
        <w:t xml:space="preserve"> </w:t>
      </w:r>
      <w:r w:rsidRPr="00EA40E6">
        <w:rPr>
          <w:rFonts w:hint="eastAsia"/>
          <w:b/>
          <w:bCs/>
        </w:rPr>
        <w:t>送货上门的电脑买卖</w:t>
      </w:r>
    </w:p>
    <w:p w14:paraId="0F277E15" w14:textId="77777777" w:rsidR="00EA40E6" w:rsidRPr="00EA40E6" w:rsidRDefault="00EA40E6" w:rsidP="00EA40E6">
      <w:pPr>
        <w:ind w:firstLineChars="200" w:firstLine="420"/>
      </w:pPr>
    </w:p>
    <w:p w14:paraId="791C968F" w14:textId="77777777" w:rsidR="00EA40E6" w:rsidRPr="00EA40E6" w:rsidRDefault="00EA40E6" w:rsidP="00EA40E6">
      <w:pPr>
        <w:ind w:firstLineChars="200" w:firstLine="420"/>
      </w:pPr>
      <w:r w:rsidRPr="00EA40E6">
        <w:rPr>
          <w:rFonts w:hint="eastAsia"/>
        </w:rPr>
        <w:t>案件事实</w:t>
      </w:r>
    </w:p>
    <w:p w14:paraId="58C8EF39" w14:textId="77777777" w:rsidR="00EA40E6" w:rsidRPr="00EA40E6" w:rsidRDefault="00EA40E6" w:rsidP="00EA40E6">
      <w:pPr>
        <w:ind w:firstLineChars="200" w:firstLine="420"/>
      </w:pPr>
      <w:r w:rsidRPr="00EA40E6">
        <w:rPr>
          <w:rFonts w:hint="eastAsia"/>
        </w:rPr>
        <w:t>上海的</w:t>
      </w:r>
      <w:r w:rsidRPr="00EA40E6">
        <w:rPr>
          <w:rFonts w:hint="eastAsia"/>
        </w:rPr>
        <w:t>X</w:t>
      </w:r>
      <w:r w:rsidRPr="00EA40E6">
        <w:rPr>
          <w:rFonts w:hint="eastAsia"/>
        </w:rPr>
        <w:t>公司因业务发展需要，急需一批电脑。</w:t>
      </w:r>
      <w:r w:rsidRPr="00EA40E6">
        <w:rPr>
          <w:rFonts w:hint="eastAsia"/>
        </w:rPr>
        <w:t>1</w:t>
      </w:r>
      <w:r w:rsidRPr="00EA40E6">
        <w:rPr>
          <w:rFonts w:hint="eastAsia"/>
        </w:rPr>
        <w:t>月</w:t>
      </w:r>
      <w:r w:rsidRPr="00EA40E6">
        <w:rPr>
          <w:rFonts w:hint="eastAsia"/>
        </w:rPr>
        <w:t>31</w:t>
      </w:r>
      <w:r w:rsidRPr="00EA40E6">
        <w:rPr>
          <w:rFonts w:hint="eastAsia"/>
        </w:rPr>
        <w:t>日，</w:t>
      </w:r>
      <w:r w:rsidRPr="00EA40E6">
        <w:rPr>
          <w:rFonts w:hint="eastAsia"/>
        </w:rPr>
        <w:t>X</w:t>
      </w:r>
      <w:r w:rsidRPr="00EA40E6">
        <w:rPr>
          <w:rFonts w:hint="eastAsia"/>
        </w:rPr>
        <w:t>公司向</w:t>
      </w:r>
      <w:r w:rsidRPr="00EA40E6">
        <w:rPr>
          <w:rFonts w:hint="eastAsia"/>
        </w:rPr>
        <w:t>Y</w:t>
      </w:r>
      <w:r w:rsidRPr="00EA40E6">
        <w:rPr>
          <w:rFonts w:hint="eastAsia"/>
        </w:rPr>
        <w:t>电脑销售公司发出一份书面订单，订购</w:t>
      </w:r>
      <w:r w:rsidRPr="00EA40E6">
        <w:rPr>
          <w:rFonts w:hint="eastAsia"/>
        </w:rPr>
        <w:t>5</w:t>
      </w:r>
      <w:r w:rsidRPr="00EA40E6">
        <w:rPr>
          <w:rFonts w:hint="eastAsia"/>
        </w:rPr>
        <w:t>台某型号电脑，并提出希望尽快得到电脑以便开展工作。</w:t>
      </w:r>
      <w:r w:rsidRPr="00EA40E6">
        <w:rPr>
          <w:rFonts w:hint="eastAsia"/>
        </w:rPr>
        <w:t>Y</w:t>
      </w:r>
      <w:r w:rsidRPr="00EA40E6">
        <w:rPr>
          <w:rFonts w:hint="eastAsia"/>
        </w:rPr>
        <w:t>对订单没有进行直接答复，而是于</w:t>
      </w:r>
      <w:r w:rsidRPr="00EA40E6">
        <w:rPr>
          <w:rFonts w:hint="eastAsia"/>
        </w:rPr>
        <w:t>2</w:t>
      </w:r>
      <w:r w:rsidRPr="00EA40E6">
        <w:rPr>
          <w:rFonts w:hint="eastAsia"/>
        </w:rPr>
        <w:t>月</w:t>
      </w:r>
      <w:r w:rsidRPr="00EA40E6">
        <w:rPr>
          <w:rFonts w:hint="eastAsia"/>
        </w:rPr>
        <w:t>10</w:t>
      </w:r>
      <w:r w:rsidRPr="00EA40E6">
        <w:rPr>
          <w:rFonts w:hint="eastAsia"/>
        </w:rPr>
        <w:t>日向</w:t>
      </w:r>
      <w:r w:rsidRPr="00EA40E6">
        <w:rPr>
          <w:rFonts w:hint="eastAsia"/>
        </w:rPr>
        <w:t>X</w:t>
      </w:r>
      <w:r w:rsidRPr="00EA40E6">
        <w:rPr>
          <w:rFonts w:hint="eastAsia"/>
        </w:rPr>
        <w:t>公司送去</w:t>
      </w:r>
      <w:r w:rsidRPr="00EA40E6">
        <w:rPr>
          <w:rFonts w:hint="eastAsia"/>
        </w:rPr>
        <w:t>5</w:t>
      </w:r>
      <w:r w:rsidRPr="00EA40E6">
        <w:rPr>
          <w:rFonts w:hint="eastAsia"/>
        </w:rPr>
        <w:t>台电脑。</w:t>
      </w:r>
      <w:r w:rsidRPr="00EA40E6">
        <w:rPr>
          <w:rFonts w:hint="eastAsia"/>
        </w:rPr>
        <w:t>X</w:t>
      </w:r>
      <w:r w:rsidRPr="00EA40E6">
        <w:rPr>
          <w:rFonts w:hint="eastAsia"/>
        </w:rPr>
        <w:t>公司将电脑投入使用。</w:t>
      </w:r>
      <w:r w:rsidRPr="00EA40E6">
        <w:rPr>
          <w:rFonts w:hint="eastAsia"/>
        </w:rPr>
        <w:t xml:space="preserve"> </w:t>
      </w:r>
    </w:p>
    <w:p w14:paraId="2F8E408A" w14:textId="77777777" w:rsidR="00EA40E6" w:rsidRPr="00EA40E6" w:rsidRDefault="00EA40E6" w:rsidP="00EA40E6">
      <w:pPr>
        <w:ind w:firstLineChars="200" w:firstLine="420"/>
      </w:pPr>
      <w:r w:rsidRPr="00EA40E6">
        <w:rPr>
          <w:rFonts w:hint="eastAsia"/>
        </w:rPr>
        <w:t>问题一：</w:t>
      </w:r>
      <w:r w:rsidRPr="00EA40E6">
        <w:rPr>
          <w:rFonts w:hint="eastAsia"/>
        </w:rPr>
        <w:t>Y</w:t>
      </w:r>
      <w:r w:rsidRPr="00EA40E6">
        <w:rPr>
          <w:rFonts w:hint="eastAsia"/>
        </w:rPr>
        <w:t>公司是否有权要求</w:t>
      </w:r>
      <w:r w:rsidRPr="00EA40E6">
        <w:rPr>
          <w:rFonts w:hint="eastAsia"/>
        </w:rPr>
        <w:t>X</w:t>
      </w:r>
      <w:r w:rsidRPr="00EA40E6">
        <w:rPr>
          <w:rFonts w:hint="eastAsia"/>
        </w:rPr>
        <w:t>公司给付货款。</w:t>
      </w:r>
      <w:r w:rsidRPr="00EA40E6">
        <w:rPr>
          <w:rFonts w:hint="eastAsia"/>
        </w:rPr>
        <w:t xml:space="preserve"> </w:t>
      </w:r>
    </w:p>
    <w:p w14:paraId="7F4EB802" w14:textId="77777777" w:rsidR="00EA40E6" w:rsidRPr="00EA40E6" w:rsidRDefault="00EA40E6" w:rsidP="00EA40E6">
      <w:pPr>
        <w:ind w:firstLineChars="200" w:firstLine="420"/>
      </w:pPr>
      <w:r w:rsidRPr="00EA40E6">
        <w:rPr>
          <w:rFonts w:hint="eastAsia"/>
        </w:rPr>
        <w:t>条件替换：</w:t>
      </w:r>
    </w:p>
    <w:p w14:paraId="09F628AE" w14:textId="77777777" w:rsidR="00EA40E6" w:rsidRPr="00EA40E6" w:rsidRDefault="00EA40E6" w:rsidP="00EA40E6">
      <w:pPr>
        <w:ind w:firstLineChars="200" w:firstLine="420"/>
      </w:pPr>
      <w:r w:rsidRPr="00EA40E6">
        <w:rPr>
          <w:rFonts w:hint="eastAsia"/>
        </w:rPr>
        <w:t>其他案情相同，不同的是：</w:t>
      </w:r>
      <w:r w:rsidRPr="00EA40E6">
        <w:rPr>
          <w:rFonts w:hint="eastAsia"/>
        </w:rPr>
        <w:t>Y</w:t>
      </w:r>
      <w:r w:rsidRPr="00EA40E6">
        <w:rPr>
          <w:rFonts w:hint="eastAsia"/>
        </w:rPr>
        <w:t>公司在订货后的第二天向</w:t>
      </w:r>
      <w:r w:rsidRPr="00EA40E6">
        <w:rPr>
          <w:rFonts w:hint="eastAsia"/>
        </w:rPr>
        <w:t>X</w:t>
      </w:r>
      <w:r w:rsidRPr="00EA40E6">
        <w:rPr>
          <w:rFonts w:hint="eastAsia"/>
        </w:rPr>
        <w:t>公司送去</w:t>
      </w:r>
      <w:r w:rsidRPr="00EA40E6">
        <w:rPr>
          <w:rFonts w:hint="eastAsia"/>
        </w:rPr>
        <w:t>10</w:t>
      </w:r>
      <w:r w:rsidRPr="00EA40E6">
        <w:rPr>
          <w:rFonts w:hint="eastAsia"/>
        </w:rPr>
        <w:t>台电脑。而且</w:t>
      </w:r>
      <w:r w:rsidRPr="00EA40E6">
        <w:rPr>
          <w:rFonts w:hint="eastAsia"/>
        </w:rPr>
        <w:t>X</w:t>
      </w:r>
      <w:r w:rsidRPr="00EA40E6">
        <w:rPr>
          <w:rFonts w:hint="eastAsia"/>
        </w:rPr>
        <w:t>公司接受这些电脑并投入使用。</w:t>
      </w:r>
    </w:p>
    <w:p w14:paraId="438349BE" w14:textId="77777777" w:rsidR="00EA40E6" w:rsidRPr="00EA40E6" w:rsidRDefault="00EA40E6" w:rsidP="00EA40E6">
      <w:pPr>
        <w:ind w:firstLineChars="200" w:firstLine="420"/>
      </w:pPr>
      <w:r w:rsidRPr="00EA40E6">
        <w:rPr>
          <w:rFonts w:hint="eastAsia"/>
        </w:rPr>
        <w:t>问题二：</w:t>
      </w:r>
      <w:r w:rsidRPr="00EA40E6">
        <w:rPr>
          <w:rFonts w:hint="eastAsia"/>
        </w:rPr>
        <w:t>Y</w:t>
      </w:r>
      <w:r w:rsidRPr="00EA40E6">
        <w:rPr>
          <w:rFonts w:hint="eastAsia"/>
        </w:rPr>
        <w:t>公司是否有权要求</w:t>
      </w:r>
      <w:r w:rsidRPr="00EA40E6">
        <w:rPr>
          <w:rFonts w:hint="eastAsia"/>
        </w:rPr>
        <w:t>X</w:t>
      </w:r>
      <w:r w:rsidRPr="00EA40E6">
        <w:rPr>
          <w:rFonts w:hint="eastAsia"/>
        </w:rPr>
        <w:t>公司支付</w:t>
      </w:r>
      <w:r w:rsidRPr="00EA40E6">
        <w:rPr>
          <w:rFonts w:hint="eastAsia"/>
        </w:rPr>
        <w:t>10</w:t>
      </w:r>
      <w:r w:rsidRPr="00EA40E6">
        <w:rPr>
          <w:rFonts w:hint="eastAsia"/>
        </w:rPr>
        <w:t>台电脑的价款？</w:t>
      </w:r>
    </w:p>
    <w:p w14:paraId="1EB0D026" w14:textId="77777777" w:rsidR="00EA40E6" w:rsidRPr="00EA40E6" w:rsidRDefault="00EA40E6" w:rsidP="00EA40E6">
      <w:pPr>
        <w:ind w:firstLineChars="200" w:firstLine="420"/>
      </w:pPr>
    </w:p>
    <w:p w14:paraId="002DF848" w14:textId="77777777" w:rsidR="00EA40E6" w:rsidRPr="00EA40E6" w:rsidRDefault="00EA40E6" w:rsidP="00EA40E6">
      <w:pPr>
        <w:ind w:firstLineChars="200" w:firstLine="420"/>
      </w:pPr>
    </w:p>
    <w:p w14:paraId="0BB8D609" w14:textId="44F065F4" w:rsidR="00EA40E6" w:rsidRPr="00EA40E6" w:rsidRDefault="00EA40E6" w:rsidP="00EA40E6">
      <w:pPr>
        <w:rPr>
          <w:b/>
          <w:bCs/>
        </w:rPr>
      </w:pPr>
      <w:r w:rsidRPr="00EA40E6">
        <w:rPr>
          <w:rFonts w:hint="eastAsia"/>
          <w:b/>
          <w:bCs/>
        </w:rPr>
        <w:t>第七</w:t>
      </w:r>
      <w:r>
        <w:rPr>
          <w:rFonts w:hint="eastAsia"/>
          <w:b/>
          <w:bCs/>
        </w:rPr>
        <w:t>、八、九</w:t>
      </w:r>
      <w:r w:rsidRPr="00EA40E6">
        <w:rPr>
          <w:rFonts w:hint="eastAsia"/>
          <w:b/>
          <w:bCs/>
        </w:rPr>
        <w:t>讲</w:t>
      </w:r>
      <w:r w:rsidRPr="00EA40E6">
        <w:rPr>
          <w:rFonts w:hint="eastAsia"/>
          <w:b/>
          <w:bCs/>
        </w:rPr>
        <w:t xml:space="preserve"> </w:t>
      </w:r>
      <w:r w:rsidRPr="00EA40E6">
        <w:rPr>
          <w:b/>
          <w:bCs/>
        </w:rPr>
        <w:t>一房二卖与债权平等</w:t>
      </w:r>
    </w:p>
    <w:p w14:paraId="4CF7DC6E" w14:textId="77777777" w:rsidR="00EA40E6" w:rsidRPr="00EA40E6" w:rsidRDefault="00EA40E6" w:rsidP="00EA40E6">
      <w:pPr>
        <w:ind w:firstLineChars="200" w:firstLine="420"/>
      </w:pPr>
    </w:p>
    <w:p w14:paraId="5BD03489" w14:textId="77777777" w:rsidR="00EA40E6" w:rsidRPr="00EA40E6" w:rsidRDefault="00EA40E6" w:rsidP="00EA40E6">
      <w:pPr>
        <w:ind w:firstLineChars="200" w:firstLine="420"/>
      </w:pPr>
      <w:bookmarkStart w:id="0" w:name="OLE_LINK2"/>
      <w:bookmarkStart w:id="1" w:name="OLE_LINK1"/>
      <w:r w:rsidRPr="00EA40E6">
        <w:rPr>
          <w:rFonts w:hint="eastAsia"/>
        </w:rPr>
        <w:t>2003</w:t>
      </w:r>
      <w:r w:rsidRPr="00EA40E6">
        <w:rPr>
          <w:rFonts w:hint="eastAsia"/>
        </w:rPr>
        <w:t>年</w:t>
      </w:r>
      <w:r w:rsidRPr="00EA40E6">
        <w:rPr>
          <w:rFonts w:hint="eastAsia"/>
        </w:rPr>
        <w:t>5</w:t>
      </w:r>
      <w:r w:rsidRPr="00EA40E6">
        <w:rPr>
          <w:rFonts w:hint="eastAsia"/>
        </w:rPr>
        <w:t>月</w:t>
      </w:r>
      <w:r w:rsidRPr="00EA40E6">
        <w:rPr>
          <w:rFonts w:hint="eastAsia"/>
        </w:rPr>
        <w:t>20</w:t>
      </w:r>
      <w:r w:rsidRPr="00EA40E6">
        <w:rPr>
          <w:rFonts w:hint="eastAsia"/>
        </w:rPr>
        <w:t>日，湖北省烟草公司随州公司（简称烟草公司）与随州市东城城乡建设服务公司（建设公司）签订《土地转让开发协议》，约定：“烟草公司将一块价值</w:t>
      </w:r>
      <w:r w:rsidRPr="00EA40E6">
        <w:rPr>
          <w:rFonts w:hint="eastAsia"/>
        </w:rPr>
        <w:t>200</w:t>
      </w:r>
      <w:r w:rsidRPr="00EA40E6">
        <w:rPr>
          <w:rFonts w:hint="eastAsia"/>
        </w:rPr>
        <w:t>万元的土地使用权转让给建设公司开发建设，房屋建成后向烟草公司交付并转移全部底层门面房的所有权。”</w:t>
      </w:r>
    </w:p>
    <w:p w14:paraId="5D7C5E09" w14:textId="77777777" w:rsidR="00EA40E6" w:rsidRPr="00EA40E6" w:rsidRDefault="00EA40E6" w:rsidP="00EA40E6">
      <w:pPr>
        <w:ind w:firstLineChars="200" w:firstLine="420"/>
      </w:pPr>
      <w:r w:rsidRPr="00EA40E6">
        <w:rPr>
          <w:rFonts w:hint="eastAsia"/>
        </w:rPr>
        <w:t>2004</w:t>
      </w:r>
      <w:r w:rsidRPr="00EA40E6">
        <w:rPr>
          <w:rFonts w:hint="eastAsia"/>
        </w:rPr>
        <w:t>年</w:t>
      </w:r>
      <w:r w:rsidRPr="00EA40E6">
        <w:rPr>
          <w:rFonts w:hint="eastAsia"/>
        </w:rPr>
        <w:t>9</w:t>
      </w:r>
      <w:r w:rsidRPr="00EA40E6">
        <w:rPr>
          <w:rFonts w:hint="eastAsia"/>
        </w:rPr>
        <w:t>月，建设公司完成房屋开发建设，但并未将门面房向烟草公司交付和转移所有权，而是与袁开国签订商品房买卖合同，将一楼门面房全部出售，市值共计</w:t>
      </w:r>
      <w:r w:rsidRPr="00EA40E6">
        <w:rPr>
          <w:rFonts w:hint="eastAsia"/>
        </w:rPr>
        <w:t>500</w:t>
      </w:r>
      <w:r w:rsidRPr="00EA40E6">
        <w:rPr>
          <w:rFonts w:hint="eastAsia"/>
        </w:rPr>
        <w:t>万元。袁开国于签约当日支付购房款，建设公司遂将门面房交付给他们使用。但一直未办理所有权转移登记。烟草公司起诉建设公司，并将袁开国列为诉讼第三人，请求其返还房屋，损害赔偿。</w:t>
      </w:r>
    </w:p>
    <w:p w14:paraId="07305930" w14:textId="77777777" w:rsidR="00EA40E6" w:rsidRDefault="00EA40E6" w:rsidP="00EA40E6">
      <w:pPr>
        <w:ind w:firstLineChars="200" w:firstLine="420"/>
      </w:pPr>
      <w:r w:rsidRPr="00EA40E6">
        <w:rPr>
          <w:rFonts w:hint="eastAsia"/>
        </w:rPr>
        <w:t>问题：烟草公司可以向建设公司、袁开国各请求什么权利？</w:t>
      </w:r>
    </w:p>
    <w:p w14:paraId="3560E354" w14:textId="77777777" w:rsidR="00EA40E6" w:rsidRPr="00EA40E6" w:rsidRDefault="00EA40E6" w:rsidP="00EA40E6">
      <w:pPr>
        <w:ind w:firstLineChars="200" w:firstLine="420"/>
        <w:rPr>
          <w:rFonts w:hint="eastAsia"/>
        </w:rPr>
      </w:pPr>
    </w:p>
    <w:bookmarkEnd w:id="0"/>
    <w:bookmarkEnd w:id="1"/>
    <w:p w14:paraId="64DA38B6" w14:textId="77777777" w:rsidR="00EA40E6" w:rsidRPr="00EA40E6" w:rsidRDefault="00EA40E6" w:rsidP="00EA40E6">
      <w:pPr>
        <w:ind w:firstLineChars="200" w:firstLine="420"/>
      </w:pPr>
    </w:p>
    <w:p w14:paraId="051D295B" w14:textId="01035DE3" w:rsidR="00EA40E6" w:rsidRPr="00EA40E6" w:rsidRDefault="00EA40E6" w:rsidP="00EA40E6">
      <w:pPr>
        <w:rPr>
          <w:b/>
          <w:bCs/>
        </w:rPr>
      </w:pPr>
      <w:r w:rsidRPr="00EA40E6">
        <w:rPr>
          <w:rFonts w:hint="eastAsia"/>
          <w:b/>
          <w:bCs/>
        </w:rPr>
        <w:t>第十、十一讲</w:t>
      </w:r>
      <w:r w:rsidRPr="00EA40E6">
        <w:rPr>
          <w:rFonts w:hint="eastAsia"/>
          <w:b/>
          <w:bCs/>
        </w:rPr>
        <w:t xml:space="preserve"> </w:t>
      </w:r>
      <w:r w:rsidRPr="00EA40E6">
        <w:rPr>
          <w:rFonts w:hint="eastAsia"/>
          <w:b/>
          <w:bCs/>
        </w:rPr>
        <w:t>第</w:t>
      </w:r>
      <w:r w:rsidRPr="00EA40E6">
        <w:rPr>
          <w:rFonts w:hint="eastAsia"/>
          <w:b/>
          <w:bCs/>
        </w:rPr>
        <w:t>多</w:t>
      </w:r>
      <w:r w:rsidRPr="00EA40E6">
        <w:rPr>
          <w:b/>
          <w:bCs/>
        </w:rPr>
        <w:t>余的鱼肉（意思表示的错误）</w:t>
      </w:r>
    </w:p>
    <w:p w14:paraId="4AC829ED" w14:textId="77777777" w:rsidR="00EA40E6" w:rsidRPr="00EA40E6" w:rsidRDefault="00EA40E6" w:rsidP="00EA40E6">
      <w:pPr>
        <w:ind w:firstLineChars="200" w:firstLine="420"/>
      </w:pPr>
      <w:r w:rsidRPr="00EA40E6">
        <w:t>宁波</w:t>
      </w:r>
      <w:r w:rsidRPr="00EA40E6">
        <w:t>A</w:t>
      </w:r>
      <w:r w:rsidRPr="00EA40E6">
        <w:t>公司与上海</w:t>
      </w:r>
      <w:r w:rsidRPr="00EA40E6">
        <w:t>B</w:t>
      </w:r>
      <w:r w:rsidRPr="00EA40E6">
        <w:t>公司谈判协商向</w:t>
      </w:r>
      <w:r w:rsidRPr="00EA40E6">
        <w:t>B</w:t>
      </w:r>
      <w:r w:rsidRPr="00EA40E6">
        <w:t>销售鱼肉制品。</w:t>
      </w:r>
      <w:r w:rsidRPr="00EA40E6">
        <w:t>B</w:t>
      </w:r>
      <w:r w:rsidRPr="00EA40E6">
        <w:t>公司</w:t>
      </w:r>
      <w:r w:rsidRPr="00EA40E6">
        <w:rPr>
          <w:rFonts w:hint="eastAsia"/>
        </w:rPr>
        <w:t>总</w:t>
      </w:r>
      <w:r w:rsidRPr="00EA40E6">
        <w:t>经理于</w:t>
      </w:r>
      <w:r w:rsidRPr="00EA40E6">
        <w:t>3</w:t>
      </w:r>
      <w:r w:rsidRPr="00EA40E6">
        <w:t>月</w:t>
      </w:r>
      <w:r w:rsidRPr="00EA40E6">
        <w:t>12</w:t>
      </w:r>
      <w:r w:rsidRPr="00EA40E6">
        <w:t>日指令其秘书用传真给</w:t>
      </w:r>
      <w:r w:rsidRPr="00EA40E6">
        <w:t>A</w:t>
      </w:r>
      <w:r w:rsidRPr="00EA40E6">
        <w:t>，需要向</w:t>
      </w:r>
      <w:r w:rsidRPr="00EA40E6">
        <w:t>A</w:t>
      </w:r>
      <w:r w:rsidRPr="00EA40E6">
        <w:t>公司购买</w:t>
      </w:r>
      <w:r w:rsidRPr="00EA40E6">
        <w:t>1</w:t>
      </w:r>
      <w:r w:rsidRPr="00EA40E6">
        <w:t>万公斤鱼肉制品，每公斤</w:t>
      </w:r>
      <w:r w:rsidRPr="00EA40E6">
        <w:t>20</w:t>
      </w:r>
      <w:r w:rsidRPr="00EA40E6">
        <w:t>元人民币，由</w:t>
      </w:r>
      <w:r w:rsidRPr="00EA40E6">
        <w:t>A</w:t>
      </w:r>
      <w:r w:rsidRPr="00EA40E6">
        <w:t>公司</w:t>
      </w:r>
      <w:r w:rsidRPr="00EA40E6">
        <w:rPr>
          <w:rFonts w:hint="eastAsia"/>
        </w:rPr>
        <w:t>5</w:t>
      </w:r>
      <w:r w:rsidRPr="00EA40E6">
        <w:rPr>
          <w:rFonts w:hint="eastAsia"/>
        </w:rPr>
        <w:t>月</w:t>
      </w:r>
      <w:r w:rsidRPr="00EA40E6">
        <w:rPr>
          <w:rFonts w:hint="eastAsia"/>
        </w:rPr>
        <w:t>1</w:t>
      </w:r>
      <w:r w:rsidRPr="00EA40E6">
        <w:rPr>
          <w:rFonts w:hint="eastAsia"/>
        </w:rPr>
        <w:t>日之前将货物</w:t>
      </w:r>
      <w:r w:rsidRPr="00EA40E6">
        <w:t>运至</w:t>
      </w:r>
      <w:r w:rsidRPr="00EA40E6">
        <w:t>B</w:t>
      </w:r>
      <w:r w:rsidRPr="00EA40E6">
        <w:t>公司。但秘书将</w:t>
      </w:r>
      <w:r w:rsidRPr="00EA40E6">
        <w:t>1</w:t>
      </w:r>
      <w:r w:rsidRPr="00EA40E6">
        <w:t>万公斤误写成</w:t>
      </w:r>
      <w:r w:rsidRPr="00EA40E6">
        <w:t>10</w:t>
      </w:r>
      <w:r w:rsidRPr="00EA40E6">
        <w:t>万公斤。</w:t>
      </w:r>
      <w:r w:rsidRPr="00EA40E6">
        <w:t>A</w:t>
      </w:r>
      <w:r w:rsidRPr="00EA40E6">
        <w:t>公司以传真回复：</w:t>
      </w:r>
      <w:r w:rsidRPr="00EA40E6">
        <w:rPr>
          <w:rFonts w:hint="eastAsia"/>
        </w:rPr>
        <w:t>“</w:t>
      </w:r>
      <w:r w:rsidRPr="00EA40E6">
        <w:t>同意贵方</w:t>
      </w:r>
      <w:r w:rsidRPr="00EA40E6">
        <w:t>3</w:t>
      </w:r>
      <w:r w:rsidRPr="00EA40E6">
        <w:t>月</w:t>
      </w:r>
      <w:r w:rsidRPr="00EA40E6">
        <w:t>12</w:t>
      </w:r>
      <w:r w:rsidRPr="00EA40E6">
        <w:t>日订单，我们将按订单指定的时间之前运至贵司。</w:t>
      </w:r>
      <w:r w:rsidRPr="00EA40E6">
        <w:rPr>
          <w:rFonts w:hint="eastAsia"/>
        </w:rPr>
        <w:t>”</w:t>
      </w:r>
    </w:p>
    <w:p w14:paraId="7BFD46D4" w14:textId="77777777" w:rsidR="00EA40E6" w:rsidRPr="00EA40E6" w:rsidRDefault="00EA40E6" w:rsidP="00EA40E6">
      <w:pPr>
        <w:ind w:firstLineChars="200" w:firstLine="420"/>
      </w:pPr>
      <w:r w:rsidRPr="00EA40E6">
        <w:t>但</w:t>
      </w:r>
      <w:r w:rsidRPr="00EA40E6">
        <w:t>10</w:t>
      </w:r>
      <w:r w:rsidRPr="00EA40E6">
        <w:t>万公斤鱼肉制品到货后，</w:t>
      </w:r>
      <w:r w:rsidRPr="00EA40E6">
        <w:t>B</w:t>
      </w:r>
      <w:r w:rsidRPr="00EA40E6">
        <w:t>公司只接受了其中的</w:t>
      </w:r>
      <w:r w:rsidRPr="00EA40E6">
        <w:t>1</w:t>
      </w:r>
      <w:r w:rsidRPr="00EA40E6">
        <w:t>万公斤，其余的鱼肉制品储藏在货仓中。为避免损失，</w:t>
      </w:r>
      <w:r w:rsidRPr="00EA40E6">
        <w:t>A</w:t>
      </w:r>
      <w:r w:rsidRPr="00EA40E6">
        <w:t>公司将多余的</w:t>
      </w:r>
      <w:r w:rsidRPr="00EA40E6">
        <w:t>9</w:t>
      </w:r>
      <w:r w:rsidRPr="00EA40E6">
        <w:t>万公斤鱼肉制品运回宁波，支付</w:t>
      </w:r>
      <w:r w:rsidRPr="00EA40E6">
        <w:t>2</w:t>
      </w:r>
      <w:r w:rsidRPr="00EA40E6">
        <w:t>万元运费。为了将</w:t>
      </w:r>
      <w:r w:rsidRPr="00EA40E6">
        <w:t>10</w:t>
      </w:r>
      <w:r w:rsidRPr="00EA40E6">
        <w:t>万公斤鱼肉制品运往上海，</w:t>
      </w:r>
      <w:r w:rsidRPr="00EA40E6">
        <w:t>A</w:t>
      </w:r>
      <w:r w:rsidRPr="00EA40E6">
        <w:t>公司支付了</w:t>
      </w:r>
      <w:r w:rsidRPr="00EA40E6">
        <w:t>2</w:t>
      </w:r>
      <w:r w:rsidRPr="00EA40E6">
        <w:t>万元运输费，而如果仅运输</w:t>
      </w:r>
      <w:r w:rsidRPr="00EA40E6">
        <w:t>1</w:t>
      </w:r>
      <w:r w:rsidRPr="00EA40E6">
        <w:t>万公斤，仅须运输费</w:t>
      </w:r>
      <w:r w:rsidRPr="00EA40E6">
        <w:t>4</w:t>
      </w:r>
      <w:r w:rsidRPr="00EA40E6">
        <w:t>千元。此外，</w:t>
      </w:r>
      <w:r w:rsidRPr="00EA40E6">
        <w:t>A</w:t>
      </w:r>
      <w:r w:rsidRPr="00EA40E6">
        <w:t>公司声称：通过正常的商业贸易，出售其余</w:t>
      </w:r>
      <w:r w:rsidRPr="00EA40E6">
        <w:t>9</w:t>
      </w:r>
      <w:r w:rsidRPr="00EA40E6">
        <w:t>万公斤鱼肉制品可带来</w:t>
      </w:r>
      <w:r w:rsidRPr="00EA40E6">
        <w:t>10</w:t>
      </w:r>
      <w:r w:rsidRPr="00EA40E6">
        <w:t>万元的利润。</w:t>
      </w:r>
    </w:p>
    <w:p w14:paraId="3E933C23" w14:textId="77777777" w:rsidR="00EA40E6" w:rsidRPr="00EA40E6" w:rsidRDefault="00EA40E6" w:rsidP="00EA40E6">
      <w:pPr>
        <w:ind w:firstLineChars="200" w:firstLine="420"/>
      </w:pPr>
      <w:r w:rsidRPr="00EA40E6">
        <w:t>问题一：</w:t>
      </w:r>
      <w:r w:rsidRPr="00EA40E6">
        <w:t>B</w:t>
      </w:r>
      <w:r w:rsidRPr="00EA40E6">
        <w:t>公司在</w:t>
      </w:r>
      <w:r w:rsidRPr="00EA40E6">
        <w:rPr>
          <w:rFonts w:hint="eastAsia"/>
        </w:rPr>
        <w:t>5</w:t>
      </w:r>
      <w:r w:rsidRPr="00EA40E6">
        <w:rPr>
          <w:rFonts w:hint="eastAsia"/>
        </w:rPr>
        <w:t>月</w:t>
      </w:r>
      <w:r w:rsidRPr="00EA40E6">
        <w:rPr>
          <w:rFonts w:hint="eastAsia"/>
        </w:rPr>
        <w:t>30</w:t>
      </w:r>
      <w:r w:rsidRPr="00EA40E6">
        <w:rPr>
          <w:rFonts w:hint="eastAsia"/>
        </w:rPr>
        <w:t>日</w:t>
      </w:r>
      <w:r w:rsidRPr="00EA40E6">
        <w:t>向法院起诉撤销</w:t>
      </w:r>
      <w:r w:rsidRPr="00EA40E6">
        <w:t>9</w:t>
      </w:r>
      <w:r w:rsidRPr="00EA40E6">
        <w:t>万公斤的鱼肉买卖。该诉请可否得到支持？</w:t>
      </w:r>
    </w:p>
    <w:p w14:paraId="3176CDA1" w14:textId="77777777" w:rsidR="00EA40E6" w:rsidRPr="00EA40E6" w:rsidRDefault="00EA40E6" w:rsidP="00EA40E6">
      <w:pPr>
        <w:ind w:firstLineChars="200" w:firstLine="420"/>
      </w:pPr>
      <w:r w:rsidRPr="00EA40E6">
        <w:t>问题二：</w:t>
      </w:r>
      <w:r w:rsidRPr="00EA40E6">
        <w:t>A</w:t>
      </w:r>
      <w:r w:rsidRPr="00EA40E6">
        <w:t>公司是否有权要求</w:t>
      </w:r>
      <w:r w:rsidRPr="00EA40E6">
        <w:t>B</w:t>
      </w:r>
      <w:r w:rsidRPr="00EA40E6">
        <w:t>公司支付价款？</w:t>
      </w:r>
    </w:p>
    <w:p w14:paraId="35BB54D5" w14:textId="77777777" w:rsidR="00EA40E6" w:rsidRPr="00EA40E6" w:rsidRDefault="00EA40E6" w:rsidP="00EA40E6">
      <w:pPr>
        <w:ind w:firstLineChars="200" w:firstLine="420"/>
      </w:pPr>
      <w:r w:rsidRPr="00EA40E6">
        <w:t>问题三：</w:t>
      </w:r>
      <w:r w:rsidRPr="00EA40E6">
        <w:t>B</w:t>
      </w:r>
      <w:r w:rsidRPr="00EA40E6">
        <w:t>公司如撤销合同，</w:t>
      </w:r>
      <w:r w:rsidRPr="00EA40E6">
        <w:t>A</w:t>
      </w:r>
      <w:r w:rsidRPr="00EA40E6">
        <w:t>公司得主张何种损害赔偿的权利（或会产生哪些法律后果）？</w:t>
      </w:r>
    </w:p>
    <w:p w14:paraId="6EB243D2" w14:textId="77777777" w:rsidR="00EA40E6" w:rsidRPr="00EA40E6" w:rsidRDefault="00EA40E6" w:rsidP="00EA40E6">
      <w:pPr>
        <w:ind w:firstLineChars="200" w:firstLine="420"/>
      </w:pPr>
    </w:p>
    <w:p w14:paraId="14D899B8" w14:textId="25B8898C" w:rsidR="00EA40E6" w:rsidRPr="00EA40E6" w:rsidRDefault="00EA40E6" w:rsidP="00EA40E6">
      <w:pPr>
        <w:rPr>
          <w:b/>
          <w:bCs/>
        </w:rPr>
      </w:pPr>
      <w:r w:rsidRPr="00EA40E6">
        <w:rPr>
          <w:rFonts w:hint="eastAsia"/>
          <w:b/>
          <w:bCs/>
        </w:rPr>
        <w:t>第十一、十二讲</w:t>
      </w:r>
      <w:r w:rsidRPr="00EA40E6">
        <w:rPr>
          <w:rFonts w:hint="eastAsia"/>
          <w:b/>
          <w:bCs/>
        </w:rPr>
        <w:t xml:space="preserve"> </w:t>
      </w:r>
      <w:r w:rsidRPr="00EA40E6">
        <w:rPr>
          <w:rFonts w:hint="eastAsia"/>
          <w:b/>
          <w:bCs/>
        </w:rPr>
        <w:t>有问题的“</w:t>
      </w:r>
      <w:r w:rsidRPr="00EA40E6">
        <w:rPr>
          <w:rFonts w:hint="eastAsia"/>
          <w:b/>
          <w:bCs/>
        </w:rPr>
        <w:t>SONY</w:t>
      </w:r>
      <w:r w:rsidRPr="00EA40E6">
        <w:rPr>
          <w:rFonts w:hint="eastAsia"/>
          <w:b/>
          <w:bCs/>
        </w:rPr>
        <w:t>”电视机（瑕疵担保责任）</w:t>
      </w:r>
    </w:p>
    <w:p w14:paraId="548DDB18" w14:textId="77777777" w:rsidR="00EA40E6" w:rsidRPr="00EA40E6" w:rsidRDefault="00EA40E6" w:rsidP="00EA40E6">
      <w:pPr>
        <w:ind w:firstLineChars="200" w:firstLine="420"/>
      </w:pPr>
      <w:r w:rsidRPr="00EA40E6">
        <w:rPr>
          <w:rFonts w:hint="eastAsia"/>
        </w:rPr>
        <w:t>A</w:t>
      </w:r>
      <w:r w:rsidRPr="00EA40E6">
        <w:rPr>
          <w:rFonts w:hint="eastAsia"/>
        </w:rPr>
        <w:t>公司向</w:t>
      </w:r>
      <w:r w:rsidRPr="00EA40E6">
        <w:rPr>
          <w:rFonts w:hint="eastAsia"/>
        </w:rPr>
        <w:t>B</w:t>
      </w:r>
      <w:r w:rsidRPr="00EA40E6">
        <w:rPr>
          <w:rFonts w:hint="eastAsia"/>
        </w:rPr>
        <w:t>公司（电器销售商）订购</w:t>
      </w:r>
      <w:r w:rsidRPr="00EA40E6">
        <w:rPr>
          <w:rFonts w:hint="eastAsia"/>
        </w:rPr>
        <w:t>100</w:t>
      </w:r>
      <w:r w:rsidRPr="00EA40E6">
        <w:rPr>
          <w:rFonts w:hint="eastAsia"/>
        </w:rPr>
        <w:t>台银色机壳“</w:t>
      </w:r>
      <w:r w:rsidRPr="00EA40E6">
        <w:rPr>
          <w:rFonts w:hint="eastAsia"/>
        </w:rPr>
        <w:t>SONY</w:t>
      </w:r>
      <w:r w:rsidRPr="00EA40E6">
        <w:rPr>
          <w:rFonts w:hint="eastAsia"/>
        </w:rPr>
        <w:t>”电视机。电视机到货时，</w:t>
      </w:r>
      <w:r w:rsidRPr="00EA40E6">
        <w:rPr>
          <w:rFonts w:hint="eastAsia"/>
        </w:rPr>
        <w:t>B</w:t>
      </w:r>
      <w:r w:rsidRPr="00EA40E6">
        <w:rPr>
          <w:rFonts w:hint="eastAsia"/>
        </w:rPr>
        <w:t>公司通知</w:t>
      </w:r>
      <w:r w:rsidRPr="00EA40E6">
        <w:rPr>
          <w:rFonts w:hint="eastAsia"/>
        </w:rPr>
        <w:t>A</w:t>
      </w:r>
      <w:r w:rsidRPr="00EA40E6">
        <w:rPr>
          <w:rFonts w:hint="eastAsia"/>
        </w:rPr>
        <w:t>公司，由</w:t>
      </w:r>
      <w:r w:rsidRPr="00EA40E6">
        <w:rPr>
          <w:rFonts w:hint="eastAsia"/>
        </w:rPr>
        <w:t>A</w:t>
      </w:r>
      <w:r w:rsidRPr="00EA40E6">
        <w:rPr>
          <w:rFonts w:hint="eastAsia"/>
        </w:rPr>
        <w:t>公司自己提货。</w:t>
      </w:r>
      <w:r w:rsidRPr="00EA40E6">
        <w:rPr>
          <w:rFonts w:hint="eastAsia"/>
        </w:rPr>
        <w:t>A</w:t>
      </w:r>
      <w:r w:rsidRPr="00EA40E6">
        <w:rPr>
          <w:rFonts w:hint="eastAsia"/>
        </w:rPr>
        <w:t>公司在对运回的电视机进行检验时发现，（</w:t>
      </w:r>
      <w:r w:rsidRPr="00EA40E6">
        <w:rPr>
          <w:rFonts w:hint="eastAsia"/>
        </w:rPr>
        <w:t>1</w:t>
      </w:r>
      <w:r w:rsidRPr="00EA40E6">
        <w:rPr>
          <w:rFonts w:hint="eastAsia"/>
        </w:rPr>
        <w:t>）由于产品质量的原因，其中一台电视机不能使用；（</w:t>
      </w:r>
      <w:r w:rsidRPr="00EA40E6">
        <w:rPr>
          <w:rFonts w:hint="eastAsia"/>
        </w:rPr>
        <w:t>2</w:t>
      </w:r>
      <w:r w:rsidRPr="00EA40E6">
        <w:rPr>
          <w:rFonts w:hint="eastAsia"/>
        </w:rPr>
        <w:t>）另一台是红色的机壳；（</w:t>
      </w:r>
      <w:r w:rsidRPr="00EA40E6">
        <w:rPr>
          <w:rFonts w:hint="eastAsia"/>
        </w:rPr>
        <w:t>3</w:t>
      </w:r>
      <w:r w:rsidRPr="00EA40E6">
        <w:rPr>
          <w:rFonts w:hint="eastAsia"/>
        </w:rPr>
        <w:t>）还有一台机壳有少量刮痕。</w:t>
      </w:r>
      <w:r w:rsidRPr="00EA40E6">
        <w:rPr>
          <w:rFonts w:hint="eastAsia"/>
        </w:rPr>
        <w:t>A</w:t>
      </w:r>
      <w:r w:rsidRPr="00EA40E6">
        <w:rPr>
          <w:rFonts w:hint="eastAsia"/>
        </w:rPr>
        <w:t>公司立即通报</w:t>
      </w:r>
      <w:r w:rsidRPr="00EA40E6">
        <w:rPr>
          <w:rFonts w:hint="eastAsia"/>
        </w:rPr>
        <w:t>B</w:t>
      </w:r>
      <w:r w:rsidRPr="00EA40E6">
        <w:rPr>
          <w:rFonts w:hint="eastAsia"/>
        </w:rPr>
        <w:t>公司这些情况。</w:t>
      </w:r>
      <w:r w:rsidRPr="00EA40E6">
        <w:rPr>
          <w:rFonts w:hint="eastAsia"/>
        </w:rPr>
        <w:t>A</w:t>
      </w:r>
      <w:r w:rsidRPr="00EA40E6">
        <w:rPr>
          <w:rFonts w:hint="eastAsia"/>
        </w:rPr>
        <w:t>公司为处置上述三台电视机并将其送回</w:t>
      </w:r>
      <w:r w:rsidRPr="00EA40E6">
        <w:rPr>
          <w:rFonts w:hint="eastAsia"/>
        </w:rPr>
        <w:t>B</w:t>
      </w:r>
      <w:r w:rsidRPr="00EA40E6">
        <w:rPr>
          <w:rFonts w:hint="eastAsia"/>
        </w:rPr>
        <w:t>公司，又花费运输费</w:t>
      </w:r>
      <w:r w:rsidRPr="00EA40E6">
        <w:rPr>
          <w:rFonts w:hint="eastAsia"/>
        </w:rPr>
        <w:t>100</w:t>
      </w:r>
      <w:r w:rsidRPr="00EA40E6">
        <w:rPr>
          <w:rFonts w:hint="eastAsia"/>
        </w:rPr>
        <w:t>元。</w:t>
      </w:r>
    </w:p>
    <w:p w14:paraId="611B0AD9" w14:textId="77777777" w:rsidR="00EA40E6" w:rsidRPr="00EA40E6" w:rsidRDefault="00EA40E6" w:rsidP="00EA40E6">
      <w:pPr>
        <w:ind w:firstLineChars="200" w:firstLine="420"/>
      </w:pPr>
      <w:r w:rsidRPr="00EA40E6">
        <w:rPr>
          <w:rFonts w:hint="eastAsia"/>
        </w:rPr>
        <w:t>问题一：</w:t>
      </w:r>
      <w:r w:rsidRPr="00EA40E6">
        <w:rPr>
          <w:rFonts w:hint="eastAsia"/>
        </w:rPr>
        <w:t>A</w:t>
      </w:r>
      <w:r w:rsidRPr="00EA40E6">
        <w:rPr>
          <w:rFonts w:hint="eastAsia"/>
        </w:rPr>
        <w:t>公司是否有权向</w:t>
      </w:r>
      <w:r w:rsidRPr="00EA40E6">
        <w:rPr>
          <w:rFonts w:hint="eastAsia"/>
        </w:rPr>
        <w:t>B</w:t>
      </w:r>
      <w:r w:rsidRPr="00EA40E6">
        <w:rPr>
          <w:rFonts w:hint="eastAsia"/>
        </w:rPr>
        <w:t>公司请求修理、更换、减少价款？或整批电视机全部退货？（说明三台电视机的具体法律效果）</w:t>
      </w:r>
    </w:p>
    <w:p w14:paraId="657C0C95" w14:textId="77777777" w:rsidR="00EA40E6" w:rsidRPr="00EA40E6" w:rsidRDefault="00EA40E6" w:rsidP="00EA40E6">
      <w:pPr>
        <w:ind w:firstLineChars="200" w:firstLine="420"/>
      </w:pPr>
      <w:r w:rsidRPr="00EA40E6">
        <w:t>问题二：</w:t>
      </w:r>
      <w:r w:rsidRPr="00EA40E6">
        <w:rPr>
          <w:rFonts w:hint="eastAsia"/>
        </w:rPr>
        <w:t>A</w:t>
      </w:r>
      <w:r w:rsidRPr="00EA40E6">
        <w:rPr>
          <w:rFonts w:hint="eastAsia"/>
        </w:rPr>
        <w:t>公司是否有权向</w:t>
      </w:r>
      <w:r w:rsidRPr="00EA40E6">
        <w:rPr>
          <w:rFonts w:hint="eastAsia"/>
        </w:rPr>
        <w:t>B</w:t>
      </w:r>
      <w:r w:rsidRPr="00EA40E6">
        <w:rPr>
          <w:rFonts w:hint="eastAsia"/>
        </w:rPr>
        <w:t>公司请求损害赔偿？</w:t>
      </w:r>
    </w:p>
    <w:p w14:paraId="62FBA397" w14:textId="77777777" w:rsidR="00EA40E6" w:rsidRPr="00EA40E6" w:rsidRDefault="00EA40E6" w:rsidP="00EA40E6">
      <w:pPr>
        <w:ind w:firstLineChars="200" w:firstLine="420"/>
      </w:pPr>
    </w:p>
    <w:p w14:paraId="654D1FB4" w14:textId="77777777" w:rsidR="00EA40E6" w:rsidRDefault="00EA40E6" w:rsidP="00EA40E6"/>
    <w:p w14:paraId="7A12725C" w14:textId="4B30231A" w:rsidR="00EA40E6" w:rsidRPr="00EA40E6" w:rsidRDefault="00EA40E6" w:rsidP="00EA40E6">
      <w:pPr>
        <w:rPr>
          <w:b/>
          <w:bCs/>
        </w:rPr>
      </w:pPr>
      <w:r w:rsidRPr="00EA40E6">
        <w:rPr>
          <w:rFonts w:hint="eastAsia"/>
          <w:b/>
          <w:bCs/>
        </w:rPr>
        <w:t>第十三、十四、十五讲</w:t>
      </w:r>
      <w:r w:rsidRPr="00EA40E6">
        <w:rPr>
          <w:rFonts w:hint="eastAsia"/>
          <w:b/>
          <w:bCs/>
        </w:rPr>
        <w:t xml:space="preserve"> </w:t>
      </w:r>
      <w:r w:rsidRPr="00EA40E6">
        <w:rPr>
          <w:rFonts w:hint="eastAsia"/>
          <w:b/>
          <w:bCs/>
        </w:rPr>
        <w:t>王利毅、张丽霞诉上海银河宾馆案</w:t>
      </w:r>
    </w:p>
    <w:p w14:paraId="30BA319A" w14:textId="77777777" w:rsidR="00EA40E6" w:rsidRPr="00EA40E6" w:rsidRDefault="00EA40E6" w:rsidP="00EA40E6">
      <w:pPr>
        <w:ind w:firstLineChars="200" w:firstLine="420"/>
      </w:pPr>
      <w:r w:rsidRPr="00EA40E6">
        <w:rPr>
          <w:rFonts w:hint="eastAsia"/>
        </w:rPr>
        <w:t>原告王利毅、张丽霞之女王翰入住上海银河宾馆，犯罪嫌疑人仝瑞宝进入银河宾馆，企图实施犯罪行为。仝瑞宝先后七次上下电梯，且在宾馆内逗留长达三个多小时，但被告宾馆却无人检查仝瑞宝的证件，也无访客登记。最终，王翰被犯罪嫌疑人仝瑞宝杀害，财物遭劫。</w:t>
      </w:r>
    </w:p>
    <w:p w14:paraId="720DB649" w14:textId="77777777" w:rsidR="00EA40E6" w:rsidRPr="00EA40E6" w:rsidRDefault="00EA40E6" w:rsidP="00EA40E6">
      <w:pPr>
        <w:ind w:firstLineChars="200" w:firstLine="420"/>
      </w:pPr>
      <w:r w:rsidRPr="00EA40E6">
        <w:rPr>
          <w:rFonts w:hint="eastAsia"/>
        </w:rPr>
        <w:t>问题：运用请求权基础分析方法对本案请求权状况加以分析。</w:t>
      </w:r>
    </w:p>
    <w:p w14:paraId="562F4992" w14:textId="77777777" w:rsidR="006A1741" w:rsidRPr="00EA40E6" w:rsidRDefault="006A1741" w:rsidP="00EA40E6">
      <w:pPr>
        <w:ind w:firstLineChars="200" w:firstLine="420"/>
      </w:pPr>
    </w:p>
    <w:p w14:paraId="47A1B1FD" w14:textId="77777777" w:rsidR="006A1741" w:rsidRDefault="00000000">
      <w:pPr>
        <w:spacing w:afterLines="50" w:after="156"/>
        <w:rPr>
          <w:b/>
          <w:bCs/>
        </w:rPr>
      </w:pPr>
      <w:r>
        <w:rPr>
          <w:rFonts w:hint="eastAsia"/>
          <w:b/>
          <w:bCs/>
        </w:rPr>
        <w:t>第十六讲</w:t>
      </w:r>
      <w:r>
        <w:rPr>
          <w:rFonts w:hint="eastAsia"/>
          <w:b/>
          <w:bCs/>
        </w:rPr>
        <w:t xml:space="preserve"> </w:t>
      </w:r>
      <w:r>
        <w:rPr>
          <w:rFonts w:hint="eastAsia"/>
          <w:b/>
          <w:bCs/>
        </w:rPr>
        <w:t>期末考试</w:t>
      </w:r>
    </w:p>
    <w:p w14:paraId="6F499F3C" w14:textId="77777777" w:rsidR="006A1741" w:rsidRDefault="00000000">
      <w:pPr>
        <w:tabs>
          <w:tab w:val="left" w:pos="750"/>
        </w:tabs>
        <w:spacing w:afterLines="50" w:after="156"/>
        <w:ind w:firstLine="420"/>
      </w:pPr>
      <w:r>
        <w:rPr>
          <w:rFonts w:hint="eastAsia"/>
        </w:rPr>
        <w:t>本次无授课内容，安排随堂考试，考试形式为开卷。</w:t>
      </w:r>
    </w:p>
    <w:p w14:paraId="2353681E" w14:textId="77777777" w:rsidR="00EA40E6" w:rsidRDefault="00EA40E6" w:rsidP="00EA40E6">
      <w:pPr>
        <w:tabs>
          <w:tab w:val="left" w:pos="750"/>
        </w:tabs>
        <w:spacing w:afterLines="50" w:after="156"/>
        <w:rPr>
          <w:rFonts w:ascii="宋体" w:hAnsi="宋体"/>
          <w:b/>
        </w:rPr>
      </w:pPr>
    </w:p>
    <w:p w14:paraId="180E01D2" w14:textId="5D586624" w:rsidR="00EA40E6" w:rsidRPr="00EA40E6" w:rsidRDefault="00EA40E6" w:rsidP="00EA40E6">
      <w:pPr>
        <w:tabs>
          <w:tab w:val="left" w:pos="750"/>
        </w:tabs>
        <w:spacing w:afterLines="50" w:after="156"/>
        <w:rPr>
          <w:rFonts w:ascii="宋体" w:hAnsi="宋体" w:hint="eastAsia"/>
          <w:b/>
        </w:rPr>
      </w:pPr>
      <w:r>
        <w:rPr>
          <w:rFonts w:ascii="宋体" w:hAnsi="宋体" w:hint="eastAsia"/>
          <w:b/>
        </w:rPr>
        <w:t>课程</w:t>
      </w:r>
      <w:r w:rsidRPr="00EA40E6">
        <w:rPr>
          <w:rFonts w:ascii="宋体" w:hAnsi="宋体" w:hint="eastAsia"/>
          <w:b/>
        </w:rPr>
        <w:t>重点</w:t>
      </w:r>
    </w:p>
    <w:p w14:paraId="6C688AEF" w14:textId="77777777" w:rsidR="00EA40E6" w:rsidRPr="00EA40E6" w:rsidRDefault="00EA40E6" w:rsidP="00EA40E6">
      <w:pPr>
        <w:tabs>
          <w:tab w:val="left" w:pos="750"/>
        </w:tabs>
        <w:spacing w:afterLines="50" w:after="156"/>
        <w:ind w:firstLineChars="200" w:firstLine="420"/>
        <w:rPr>
          <w:rFonts w:ascii="宋体" w:hAnsi="宋体" w:hint="eastAsia"/>
          <w:bCs/>
        </w:rPr>
      </w:pPr>
      <w:r w:rsidRPr="00EA40E6">
        <w:rPr>
          <w:rFonts w:ascii="宋体" w:hAnsi="宋体" w:hint="eastAsia"/>
          <w:bCs/>
        </w:rPr>
        <w:t>民法请求权基础案例分析课程的核心在于掌握请求权基础的识别与确定，以及其检索顺序。学生需学会从众多法律条文中精准识别出与案件相关的请求权基础，并按照《民法典》中合同、类似合同、无因管理、物权、侵权、不当得利等顺序依次检索。同时，分析请求权基础规范的构成要件是关键，需挖掘其中隐含的要件，并运用法律解释方法进行科学解释。</w:t>
      </w:r>
      <w:r w:rsidRPr="00EA40E6">
        <w:rPr>
          <w:rFonts w:ascii="宋体" w:hAnsi="宋体" w:hint="eastAsia"/>
          <w:bCs/>
        </w:rPr>
        <w:lastRenderedPageBreak/>
        <w:t>此外，抗辩权的审查、案例事实的准确提取以及法律适用能力的培养也是课程的重点内容。通过案例研习，学生能够培养对法律条文、学说、判例等法律素材的综合运用能力。</w:t>
      </w:r>
    </w:p>
    <w:p w14:paraId="6A3296B2" w14:textId="77777777" w:rsidR="00EA40E6" w:rsidRDefault="00EA40E6" w:rsidP="00EA40E6">
      <w:pPr>
        <w:tabs>
          <w:tab w:val="left" w:pos="750"/>
        </w:tabs>
        <w:spacing w:afterLines="50" w:after="156"/>
        <w:rPr>
          <w:rFonts w:ascii="宋体" w:hAnsi="宋体"/>
          <w:b/>
        </w:rPr>
      </w:pPr>
    </w:p>
    <w:p w14:paraId="01A6F521" w14:textId="51CE1619" w:rsidR="00EA40E6" w:rsidRPr="00EA40E6" w:rsidRDefault="00EA40E6" w:rsidP="00EA40E6">
      <w:pPr>
        <w:tabs>
          <w:tab w:val="left" w:pos="750"/>
        </w:tabs>
        <w:spacing w:afterLines="50" w:after="156"/>
        <w:rPr>
          <w:rFonts w:ascii="宋体" w:hAnsi="宋体" w:hint="eastAsia"/>
          <w:b/>
        </w:rPr>
      </w:pPr>
      <w:r>
        <w:rPr>
          <w:rFonts w:ascii="宋体" w:hAnsi="宋体" w:hint="eastAsia"/>
          <w:b/>
        </w:rPr>
        <w:t>课程</w:t>
      </w:r>
      <w:r w:rsidRPr="00EA40E6">
        <w:rPr>
          <w:rFonts w:ascii="宋体" w:hAnsi="宋体" w:hint="eastAsia"/>
          <w:b/>
        </w:rPr>
        <w:t>难点</w:t>
      </w:r>
    </w:p>
    <w:p w14:paraId="087A8F2A" w14:textId="7D16A1AA" w:rsidR="00EA40E6" w:rsidRPr="00EA40E6" w:rsidRDefault="00EA40E6" w:rsidP="00EA40E6">
      <w:pPr>
        <w:tabs>
          <w:tab w:val="left" w:pos="750"/>
        </w:tabs>
        <w:spacing w:afterLines="50" w:after="156"/>
        <w:ind w:firstLineChars="200" w:firstLine="420"/>
        <w:rPr>
          <w:rFonts w:ascii="宋体" w:hAnsi="宋体" w:hint="eastAsia"/>
          <w:bCs/>
        </w:rPr>
      </w:pPr>
      <w:r w:rsidRPr="00EA40E6">
        <w:rPr>
          <w:rFonts w:ascii="宋体" w:hAnsi="宋体" w:hint="eastAsia"/>
          <w:bCs/>
        </w:rPr>
        <w:t>课程的难点在于将抽象的请求权方法运用到具体案例中，尤其是处理请求权竞合时，如何准确选择适用的请求权基础。同时，对请求权基础规范的构成要件进行法律解释，并使其与案件事实相匹配，需要较高的法律素养和分析能力。此外，理解证明责任规则在案件分析中的意义，并将其与请求权方法相结合，分析被告防御手段对请求权方法的影响，也是学生需要克服的难点。教师还需引导学生避免陷入形式主义，注重法理发掘，结合文献资料深入研究案例中的问题。</w:t>
      </w:r>
    </w:p>
    <w:sectPr w:rsidR="00EA40E6" w:rsidRPr="00EA40E6">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69E5" w14:textId="77777777" w:rsidR="00AE3C91" w:rsidRDefault="00AE3C91">
      <w:pPr>
        <w:spacing w:after="120"/>
      </w:pPr>
      <w:r>
        <w:separator/>
      </w:r>
    </w:p>
    <w:p w14:paraId="490F5846" w14:textId="77777777" w:rsidR="00AE3C91" w:rsidRDefault="00AE3C91">
      <w:pPr>
        <w:spacing w:after="120"/>
      </w:pPr>
    </w:p>
    <w:p w14:paraId="6CBA466D" w14:textId="77777777" w:rsidR="00AE3C91" w:rsidRDefault="00AE3C91" w:rsidP="00EA40E6">
      <w:pPr>
        <w:spacing w:after="120"/>
      </w:pPr>
    </w:p>
    <w:p w14:paraId="412CAB00" w14:textId="77777777" w:rsidR="00AE3C91" w:rsidRDefault="00AE3C91" w:rsidP="00EA40E6">
      <w:pPr>
        <w:spacing w:after="120"/>
      </w:pPr>
    </w:p>
    <w:p w14:paraId="69A8EBF3" w14:textId="77777777" w:rsidR="00AE3C91" w:rsidRDefault="00AE3C91" w:rsidP="00EA40E6">
      <w:pPr>
        <w:spacing w:after="120"/>
      </w:pPr>
    </w:p>
    <w:p w14:paraId="1070B806" w14:textId="77777777" w:rsidR="00AE3C91" w:rsidRDefault="00AE3C91" w:rsidP="00EA40E6">
      <w:pPr>
        <w:spacing w:after="120"/>
      </w:pPr>
    </w:p>
    <w:p w14:paraId="4F50837D" w14:textId="77777777" w:rsidR="00AE3C91" w:rsidRDefault="00AE3C91" w:rsidP="00EA40E6">
      <w:pPr>
        <w:spacing w:after="120"/>
      </w:pPr>
    </w:p>
    <w:p w14:paraId="5ED12CEC" w14:textId="77777777" w:rsidR="00AE3C91" w:rsidRDefault="00AE3C91" w:rsidP="00EA40E6">
      <w:pPr>
        <w:spacing w:after="120"/>
      </w:pPr>
    </w:p>
  </w:endnote>
  <w:endnote w:type="continuationSeparator" w:id="0">
    <w:p w14:paraId="59F54423" w14:textId="77777777" w:rsidR="00AE3C91" w:rsidRDefault="00AE3C91">
      <w:pPr>
        <w:spacing w:after="120"/>
      </w:pPr>
      <w:r>
        <w:continuationSeparator/>
      </w:r>
    </w:p>
    <w:p w14:paraId="3143EAAD" w14:textId="77777777" w:rsidR="00AE3C91" w:rsidRDefault="00AE3C91">
      <w:pPr>
        <w:spacing w:after="120"/>
      </w:pPr>
    </w:p>
    <w:p w14:paraId="158EC146" w14:textId="77777777" w:rsidR="00AE3C91" w:rsidRDefault="00AE3C91" w:rsidP="00EA40E6">
      <w:pPr>
        <w:spacing w:after="120"/>
      </w:pPr>
    </w:p>
    <w:p w14:paraId="2099466A" w14:textId="77777777" w:rsidR="00AE3C91" w:rsidRDefault="00AE3C91" w:rsidP="00EA40E6">
      <w:pPr>
        <w:spacing w:after="120"/>
      </w:pPr>
    </w:p>
    <w:p w14:paraId="332F1BE3" w14:textId="77777777" w:rsidR="00AE3C91" w:rsidRDefault="00AE3C91" w:rsidP="00EA40E6">
      <w:pPr>
        <w:spacing w:after="120"/>
      </w:pPr>
    </w:p>
    <w:p w14:paraId="314DA2F7" w14:textId="77777777" w:rsidR="00AE3C91" w:rsidRDefault="00AE3C91" w:rsidP="00EA40E6">
      <w:pPr>
        <w:spacing w:after="120"/>
      </w:pPr>
    </w:p>
    <w:p w14:paraId="0A71ACDC" w14:textId="77777777" w:rsidR="00AE3C91" w:rsidRDefault="00AE3C91" w:rsidP="00EA40E6">
      <w:pPr>
        <w:spacing w:after="120"/>
      </w:pPr>
    </w:p>
    <w:p w14:paraId="46012034" w14:textId="77777777" w:rsidR="00AE3C91" w:rsidRDefault="00AE3C91" w:rsidP="00EA40E6">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altName w:val="微软雅黑"/>
    <w:panose1 w:val="020B0604020202020204"/>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黑体 Std R">
    <w:altName w:val="Yu Gothic"/>
    <w:panose1 w:val="020B0604020202020204"/>
    <w:charset w:val="80"/>
    <w:family w:val="swiss"/>
    <w:pitch w:val="default"/>
    <w:sig w:usb0="00000001"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FFC7" w14:textId="77777777" w:rsidR="006A1741" w:rsidRDefault="00000000">
    <w:pPr>
      <w:pStyle w:val="a5"/>
      <w:framePr w:wrap="around" w:vAnchor="text" w:hAnchor="margin" w:xAlign="right" w:y="1"/>
      <w:spacing w:after="120"/>
      <w:rPr>
        <w:rStyle w:val="a9"/>
      </w:rPr>
    </w:pPr>
    <w:r>
      <w:rPr>
        <w:rStyle w:val="a9"/>
      </w:rPr>
      <w:fldChar w:fldCharType="begin"/>
    </w:r>
    <w:r>
      <w:rPr>
        <w:rStyle w:val="a9"/>
      </w:rPr>
      <w:instrText xml:space="preserve">PAGE  </w:instrText>
    </w:r>
    <w:r>
      <w:rPr>
        <w:rStyle w:val="a9"/>
      </w:rPr>
      <w:fldChar w:fldCharType="end"/>
    </w:r>
  </w:p>
  <w:p w14:paraId="7C26C76F" w14:textId="77777777" w:rsidR="006A1741" w:rsidRDefault="006A1741">
    <w:pPr>
      <w:pStyle w:val="a5"/>
      <w:spacing w:after="120"/>
      <w:ind w:right="360"/>
    </w:pPr>
  </w:p>
  <w:p w14:paraId="6329086E" w14:textId="77777777" w:rsidR="00000000" w:rsidRDefault="00000000">
    <w:pPr>
      <w:spacing w:after="120"/>
    </w:pPr>
  </w:p>
  <w:p w14:paraId="2E9F8523" w14:textId="77777777" w:rsidR="00000000" w:rsidRDefault="00000000" w:rsidP="00EA40E6">
    <w:pPr>
      <w:spacing w:after="120"/>
    </w:pPr>
  </w:p>
  <w:p w14:paraId="6C351C93" w14:textId="77777777" w:rsidR="00000000" w:rsidRDefault="00000000" w:rsidP="00EA40E6">
    <w:pPr>
      <w:spacing w:after="120"/>
    </w:pPr>
  </w:p>
  <w:p w14:paraId="4B1E2919" w14:textId="77777777" w:rsidR="00000000" w:rsidRDefault="00000000" w:rsidP="00EA40E6">
    <w:pPr>
      <w:spacing w:after="120"/>
    </w:pPr>
  </w:p>
  <w:p w14:paraId="24D7843D" w14:textId="77777777" w:rsidR="00000000" w:rsidRDefault="00000000" w:rsidP="00EA40E6">
    <w:pPr>
      <w:spacing w:after="120"/>
    </w:pPr>
  </w:p>
  <w:p w14:paraId="570FBE89" w14:textId="77777777" w:rsidR="00000000" w:rsidRDefault="00000000" w:rsidP="00EA40E6">
    <w:pPr>
      <w:spacing w:after="120"/>
    </w:pPr>
  </w:p>
  <w:p w14:paraId="1D3007B2" w14:textId="77777777" w:rsidR="00000000" w:rsidRDefault="00000000" w:rsidP="00EA40E6">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BF79" w14:textId="77777777" w:rsidR="006A1741" w:rsidRDefault="00000000">
    <w:pPr>
      <w:pStyle w:val="a5"/>
      <w:framePr w:wrap="around" w:vAnchor="text" w:hAnchor="margin" w:xAlign="right" w:y="1"/>
      <w:spacing w:after="120"/>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14:paraId="78D89111" w14:textId="77777777" w:rsidR="00000000" w:rsidRDefault="00000000" w:rsidP="00EA40E6">
    <w:pPr>
      <w:spacing w:after="1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28D0" w14:textId="77777777" w:rsidR="00AE3C91" w:rsidRDefault="00AE3C91">
      <w:pPr>
        <w:spacing w:after="120"/>
      </w:pPr>
      <w:r>
        <w:separator/>
      </w:r>
    </w:p>
    <w:p w14:paraId="63FC8B60" w14:textId="77777777" w:rsidR="00AE3C91" w:rsidRDefault="00AE3C91">
      <w:pPr>
        <w:spacing w:after="120"/>
      </w:pPr>
    </w:p>
    <w:p w14:paraId="6A7BDD94" w14:textId="77777777" w:rsidR="00AE3C91" w:rsidRDefault="00AE3C91" w:rsidP="00EA40E6">
      <w:pPr>
        <w:spacing w:after="120"/>
      </w:pPr>
    </w:p>
    <w:p w14:paraId="2CF072B3" w14:textId="77777777" w:rsidR="00AE3C91" w:rsidRDefault="00AE3C91" w:rsidP="00EA40E6">
      <w:pPr>
        <w:spacing w:after="120"/>
      </w:pPr>
    </w:p>
    <w:p w14:paraId="1F6D0124" w14:textId="77777777" w:rsidR="00AE3C91" w:rsidRDefault="00AE3C91" w:rsidP="00EA40E6">
      <w:pPr>
        <w:spacing w:after="120"/>
      </w:pPr>
    </w:p>
    <w:p w14:paraId="33D179D3" w14:textId="77777777" w:rsidR="00AE3C91" w:rsidRDefault="00AE3C91" w:rsidP="00EA40E6">
      <w:pPr>
        <w:spacing w:after="120"/>
      </w:pPr>
    </w:p>
    <w:p w14:paraId="063B72E4" w14:textId="77777777" w:rsidR="00AE3C91" w:rsidRDefault="00AE3C91" w:rsidP="00EA40E6">
      <w:pPr>
        <w:spacing w:after="120"/>
      </w:pPr>
    </w:p>
    <w:p w14:paraId="31B34323" w14:textId="77777777" w:rsidR="00AE3C91" w:rsidRDefault="00AE3C91" w:rsidP="00EA40E6">
      <w:pPr>
        <w:spacing w:after="120"/>
      </w:pPr>
    </w:p>
  </w:footnote>
  <w:footnote w:type="continuationSeparator" w:id="0">
    <w:p w14:paraId="77315DA8" w14:textId="77777777" w:rsidR="00AE3C91" w:rsidRDefault="00AE3C91">
      <w:pPr>
        <w:spacing w:after="120"/>
      </w:pPr>
      <w:r>
        <w:continuationSeparator/>
      </w:r>
    </w:p>
    <w:p w14:paraId="3BE2F722" w14:textId="77777777" w:rsidR="00AE3C91" w:rsidRDefault="00AE3C91">
      <w:pPr>
        <w:spacing w:after="120"/>
      </w:pPr>
    </w:p>
    <w:p w14:paraId="0D2FABFF" w14:textId="77777777" w:rsidR="00AE3C91" w:rsidRDefault="00AE3C91" w:rsidP="00EA40E6">
      <w:pPr>
        <w:spacing w:after="120"/>
      </w:pPr>
    </w:p>
    <w:p w14:paraId="78E6048A" w14:textId="77777777" w:rsidR="00AE3C91" w:rsidRDefault="00AE3C91" w:rsidP="00EA40E6">
      <w:pPr>
        <w:spacing w:after="120"/>
      </w:pPr>
    </w:p>
    <w:p w14:paraId="2B491719" w14:textId="77777777" w:rsidR="00AE3C91" w:rsidRDefault="00AE3C91" w:rsidP="00EA40E6">
      <w:pPr>
        <w:spacing w:after="120"/>
      </w:pPr>
    </w:p>
    <w:p w14:paraId="2E07E264" w14:textId="77777777" w:rsidR="00AE3C91" w:rsidRDefault="00AE3C91" w:rsidP="00EA40E6">
      <w:pPr>
        <w:spacing w:after="120"/>
      </w:pPr>
    </w:p>
    <w:p w14:paraId="7F84D4AA" w14:textId="77777777" w:rsidR="00AE3C91" w:rsidRDefault="00AE3C91" w:rsidP="00EA40E6">
      <w:pPr>
        <w:spacing w:after="120"/>
      </w:pPr>
    </w:p>
    <w:p w14:paraId="25DF82C2" w14:textId="77777777" w:rsidR="00AE3C91" w:rsidRDefault="00AE3C91" w:rsidP="00EA40E6">
      <w:pPr>
        <w:spacing w:after="1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M2NlNTEyOTI0MThkMDZmMTQzOGUzMmU5YWQwMWJiNDEifQ=="/>
  </w:docVars>
  <w:rsids>
    <w:rsidRoot w:val="000C329D"/>
    <w:rsid w:val="00010917"/>
    <w:rsid w:val="00014774"/>
    <w:rsid w:val="00030110"/>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F4283"/>
    <w:rsid w:val="00311521"/>
    <w:rsid w:val="00321178"/>
    <w:rsid w:val="003347B9"/>
    <w:rsid w:val="003435C8"/>
    <w:rsid w:val="00343CAD"/>
    <w:rsid w:val="003901DE"/>
    <w:rsid w:val="003E20A7"/>
    <w:rsid w:val="003F4D89"/>
    <w:rsid w:val="004125FE"/>
    <w:rsid w:val="004200F5"/>
    <w:rsid w:val="00431850"/>
    <w:rsid w:val="00435F04"/>
    <w:rsid w:val="00453388"/>
    <w:rsid w:val="00473148"/>
    <w:rsid w:val="004A131C"/>
    <w:rsid w:val="004D2517"/>
    <w:rsid w:val="00504A84"/>
    <w:rsid w:val="00517DB4"/>
    <w:rsid w:val="005545FA"/>
    <w:rsid w:val="00560EA3"/>
    <w:rsid w:val="00580FA3"/>
    <w:rsid w:val="005B691D"/>
    <w:rsid w:val="005D0D0E"/>
    <w:rsid w:val="005E4F07"/>
    <w:rsid w:val="00600422"/>
    <w:rsid w:val="00604573"/>
    <w:rsid w:val="0060778E"/>
    <w:rsid w:val="00613340"/>
    <w:rsid w:val="0064161E"/>
    <w:rsid w:val="00662177"/>
    <w:rsid w:val="00691A33"/>
    <w:rsid w:val="00693FAB"/>
    <w:rsid w:val="006A1741"/>
    <w:rsid w:val="006A5B21"/>
    <w:rsid w:val="006B350C"/>
    <w:rsid w:val="006B3CA9"/>
    <w:rsid w:val="006B5B50"/>
    <w:rsid w:val="007044B0"/>
    <w:rsid w:val="007275D6"/>
    <w:rsid w:val="0073727C"/>
    <w:rsid w:val="00746E38"/>
    <w:rsid w:val="00770B95"/>
    <w:rsid w:val="00774200"/>
    <w:rsid w:val="00793D9A"/>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D2E87"/>
    <w:rsid w:val="009D3810"/>
    <w:rsid w:val="009E7139"/>
    <w:rsid w:val="009F49C5"/>
    <w:rsid w:val="009F7252"/>
    <w:rsid w:val="00A06502"/>
    <w:rsid w:val="00A22677"/>
    <w:rsid w:val="00A22C20"/>
    <w:rsid w:val="00A2512F"/>
    <w:rsid w:val="00A2657E"/>
    <w:rsid w:val="00A43AEF"/>
    <w:rsid w:val="00A455C2"/>
    <w:rsid w:val="00A621E7"/>
    <w:rsid w:val="00A9565E"/>
    <w:rsid w:val="00AE2F2E"/>
    <w:rsid w:val="00AE3C91"/>
    <w:rsid w:val="00B07487"/>
    <w:rsid w:val="00B10A4C"/>
    <w:rsid w:val="00B36998"/>
    <w:rsid w:val="00BD3287"/>
    <w:rsid w:val="00C002DF"/>
    <w:rsid w:val="00C268EC"/>
    <w:rsid w:val="00C716F9"/>
    <w:rsid w:val="00C778F5"/>
    <w:rsid w:val="00CA09BF"/>
    <w:rsid w:val="00CA0D91"/>
    <w:rsid w:val="00CB25C0"/>
    <w:rsid w:val="00D01D59"/>
    <w:rsid w:val="00D5482C"/>
    <w:rsid w:val="00D80FB2"/>
    <w:rsid w:val="00DA0EB8"/>
    <w:rsid w:val="00DF4229"/>
    <w:rsid w:val="00E06703"/>
    <w:rsid w:val="00E9780C"/>
    <w:rsid w:val="00EA40E6"/>
    <w:rsid w:val="00EB4333"/>
    <w:rsid w:val="00EF5066"/>
    <w:rsid w:val="00F10ABD"/>
    <w:rsid w:val="00F25142"/>
    <w:rsid w:val="00F72123"/>
    <w:rsid w:val="00FA4103"/>
    <w:rsid w:val="00FC5C6B"/>
    <w:rsid w:val="03307CAA"/>
    <w:rsid w:val="0553507C"/>
    <w:rsid w:val="059A64B1"/>
    <w:rsid w:val="062C68B3"/>
    <w:rsid w:val="065A2FF9"/>
    <w:rsid w:val="16EB625B"/>
    <w:rsid w:val="182E1784"/>
    <w:rsid w:val="23785121"/>
    <w:rsid w:val="2441618A"/>
    <w:rsid w:val="24F24FAC"/>
    <w:rsid w:val="29677E1E"/>
    <w:rsid w:val="31C5257C"/>
    <w:rsid w:val="32256571"/>
    <w:rsid w:val="33924A00"/>
    <w:rsid w:val="3589604B"/>
    <w:rsid w:val="39AB5AD8"/>
    <w:rsid w:val="3A683839"/>
    <w:rsid w:val="501B6AC7"/>
    <w:rsid w:val="77AD6C05"/>
    <w:rsid w:val="7C65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886978"/>
  <w15:docId w15:val="{E9C559B6-7C1F-C040-879C-D2723644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footnote reference" w:uiPriority="99"/>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2">
    <w:name w:val="heading 2"/>
    <w:basedOn w:val="a"/>
    <w:next w:val="a"/>
    <w:autoRedefine/>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autoRedefine/>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Plain Text"/>
    <w:basedOn w:val="a"/>
    <w:autoRedefine/>
    <w:qFormat/>
    <w:rPr>
      <w:rFonts w:ascii="宋体" w:hAnsi="Courier New"/>
      <w:szCs w:val="20"/>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autoRedefine/>
    <w:qFormat/>
  </w:style>
  <w:style w:type="character" w:styleId="aa">
    <w:name w:val="Hyperlink"/>
    <w:autoRedefine/>
    <w:qFormat/>
    <w:rPr>
      <w:color w:val="0000FF"/>
      <w:u w:val="single"/>
    </w:rPr>
  </w:style>
  <w:style w:type="character" w:customStyle="1" w:styleId="a7">
    <w:name w:val="页眉 字符"/>
    <w:link w:val="a6"/>
    <w:autoRedefine/>
    <w:qFormat/>
    <w:rPr>
      <w:kern w:val="2"/>
      <w:sz w:val="18"/>
      <w:szCs w:val="18"/>
    </w:rPr>
  </w:style>
  <w:style w:type="paragraph" w:customStyle="1" w:styleId="Style18">
    <w:name w:val="_Style 18"/>
    <w:basedOn w:val="a"/>
    <w:next w:val="a3"/>
    <w:autoRedefine/>
    <w:qFormat/>
    <w:pPr>
      <w:ind w:firstLine="420"/>
    </w:pPr>
    <w:rPr>
      <w:szCs w:val="20"/>
    </w:rPr>
  </w:style>
  <w:style w:type="paragraph" w:customStyle="1" w:styleId="Style24">
    <w:name w:val="_Style 24"/>
    <w:basedOn w:val="a"/>
    <w:next w:val="ab"/>
    <w:autoRedefine/>
    <w:uiPriority w:val="34"/>
    <w:qFormat/>
    <w:pPr>
      <w:ind w:firstLineChars="200" w:firstLine="420"/>
    </w:pPr>
    <w:rPr>
      <w:rFonts w:ascii="Calibri" w:hAnsi="Calibri"/>
      <w:szCs w:val="22"/>
    </w:rPr>
  </w:style>
  <w:style w:type="paragraph" w:styleId="ab">
    <w:name w:val="List Paragraph"/>
    <w:basedOn w:val="a"/>
    <w:autoRedefine/>
    <w:uiPriority w:val="34"/>
    <w:qFormat/>
    <w:pPr>
      <w:ind w:firstLineChars="200" w:firstLine="420"/>
    </w:pPr>
  </w:style>
  <w:style w:type="character" w:styleId="ac">
    <w:name w:val="Placeholder Text"/>
    <w:basedOn w:val="a0"/>
    <w:autoRedefine/>
    <w:uiPriority w:val="99"/>
    <w:unhideWhenUsed/>
    <w:qFormat/>
    <w:rPr>
      <w:color w:val="808080"/>
    </w:rPr>
  </w:style>
  <w:style w:type="character" w:styleId="ad">
    <w:name w:val="footnote reference"/>
    <w:basedOn w:val="a0"/>
    <w:uiPriority w:val="99"/>
    <w:unhideWhenUsed/>
    <w:rsid w:val="00EA4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675</Words>
  <Characters>3854</Characters>
  <Application>Microsoft Office Word</Application>
  <DocSecurity>0</DocSecurity>
  <Lines>32</Lines>
  <Paragraphs>9</Paragraphs>
  <ScaleCrop>false</ScaleCrop>
  <Company>小熔工作室</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e56799</cp:lastModifiedBy>
  <cp:revision>5</cp:revision>
  <cp:lastPrinted>2007-03-05T05:03:00Z</cp:lastPrinted>
  <dcterms:created xsi:type="dcterms:W3CDTF">2024-03-04T01:38:00Z</dcterms:created>
  <dcterms:modified xsi:type="dcterms:W3CDTF">2025-07-07T11:03:00Z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D28C60F140BA4D26BA5DF4126D932CAD_13</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eyJoZGlkIjoiOTZmZDIwY2FmMmYzNTliM2EwODdiZTNiZTI5ODk0NzEiLCJ1c2VySWQiOiIxMDgyNTM5NTU5In0=</vt:lpwstr>
  </property>
</Properties>
</file>