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38764">
      <w:pPr>
        <w:jc w:val="center"/>
        <w:rPr>
          <w:rFonts w:ascii="华文中宋" w:hAnsi="华文中宋" w:eastAsia="华文中宋"/>
          <w:b/>
          <w:color w:val="000000" w:themeColor="text1"/>
          <w:sz w:val="36"/>
          <w:szCs w:val="36"/>
          <w14:textFill>
            <w14:solidFill>
              <w14:schemeClr w14:val="tx1"/>
            </w14:solidFill>
          </w14:textFill>
        </w:rPr>
      </w:pPr>
      <w:bookmarkStart w:id="0" w:name="OLE_LINK1"/>
      <w:bookmarkStart w:id="1" w:name="OLE_LINK2"/>
      <w:r>
        <w:rPr>
          <w:rFonts w:hint="eastAsia" w:ascii="华文中宋" w:hAnsi="华文中宋" w:eastAsia="华文中宋"/>
          <w:b/>
          <w:color w:val="000000" w:themeColor="text1"/>
          <w:sz w:val="36"/>
          <w:szCs w:val="36"/>
          <w14:textFill>
            <w14:solidFill>
              <w14:schemeClr w14:val="tx1"/>
            </w14:solidFill>
          </w14:textFill>
        </w:rPr>
        <w:t>上海财经大学研究生课程教学大纲</w:t>
      </w:r>
      <w:bookmarkEnd w:id="0"/>
      <w:bookmarkEnd w:id="1"/>
    </w:p>
    <w:p w14:paraId="663A2FC7">
      <w:pPr>
        <w:jc w:val="center"/>
        <w:rPr>
          <w:rFonts w:eastAsia="华文中宋"/>
          <w:b/>
          <w:color w:val="000000" w:themeColor="text1"/>
          <w:sz w:val="30"/>
          <w:szCs w:val="30"/>
          <w14:textFill>
            <w14:solidFill>
              <w14:schemeClr w14:val="tx1"/>
            </w14:solidFill>
          </w14:textFill>
        </w:rPr>
      </w:pPr>
      <w:r>
        <w:rPr>
          <w:b/>
          <w:bCs/>
          <w:color w:val="000000" w:themeColor="text1"/>
          <w:sz w:val="30"/>
          <w:szCs w:val="30"/>
          <w14:textFill>
            <w14:solidFill>
              <w14:schemeClr w14:val="tx1"/>
            </w14:solidFill>
          </w14:textFill>
        </w:rPr>
        <w:t xml:space="preserve">（The Syllabus of </w:t>
      </w:r>
      <w:r>
        <w:rPr>
          <w:rFonts w:hint="eastAsia"/>
          <w:b/>
          <w:bCs/>
          <w:color w:val="000000" w:themeColor="text1"/>
          <w:sz w:val="30"/>
          <w:szCs w:val="30"/>
          <w14:textFill>
            <w14:solidFill>
              <w14:schemeClr w14:val="tx1"/>
            </w14:solidFill>
          </w14:textFill>
        </w:rPr>
        <w:t>the Postg</w:t>
      </w:r>
      <w:r>
        <w:rPr>
          <w:b/>
          <w:bCs/>
          <w:color w:val="000000" w:themeColor="text1"/>
          <w:sz w:val="30"/>
          <w:szCs w:val="30"/>
          <w14:textFill>
            <w14:solidFill>
              <w14:schemeClr w14:val="tx1"/>
            </w14:solidFill>
          </w14:textFill>
        </w:rPr>
        <w:t>raduate Courses）</w:t>
      </w:r>
    </w:p>
    <w:p w14:paraId="0F612D70">
      <w:pPr>
        <w:rPr>
          <w:color w:val="000000" w:themeColor="text1"/>
          <w:sz w:val="24"/>
          <w14:textFill>
            <w14:solidFill>
              <w14:schemeClr w14:val="tx1"/>
            </w14:solidFill>
          </w14:textFill>
        </w:rPr>
      </w:pPr>
    </w:p>
    <w:p w14:paraId="72DE3806">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学年学期（The s</w:t>
      </w:r>
      <w:r>
        <w:rPr>
          <w:b/>
          <w:color w:val="000000" w:themeColor="text1"/>
          <w:sz w:val="24"/>
          <w14:textFill>
            <w14:solidFill>
              <w14:schemeClr w14:val="tx1"/>
            </w14:solidFill>
          </w14:textFill>
        </w:rPr>
        <w:t>emester</w:t>
      </w:r>
      <w:r>
        <w:rPr>
          <w:rFonts w:hint="eastAsia"/>
          <w:b/>
          <w:color w:val="000000" w:themeColor="text1"/>
          <w:sz w:val="24"/>
          <w14:textFill>
            <w14:solidFill>
              <w14:schemeClr w14:val="tx1"/>
            </w14:solidFill>
          </w14:textFill>
        </w:rPr>
        <w:t xml:space="preserve"> and the year）</w:t>
      </w:r>
    </w:p>
    <w:p w14:paraId="47A69C34">
      <w:pPr>
        <w:spacing w:before="156" w:beforeLines="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2025～2026学年第一学期</w:t>
      </w:r>
    </w:p>
    <w:p w14:paraId="535C9929">
      <w:pPr>
        <w:rPr>
          <w:color w:val="000000" w:themeColor="text1"/>
          <w:sz w:val="24"/>
          <w14:textFill>
            <w14:solidFill>
              <w14:schemeClr w14:val="tx1"/>
            </w14:solidFill>
          </w14:textFill>
        </w:rPr>
      </w:pPr>
    </w:p>
    <w:p w14:paraId="1123836F">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课程名称（</w:t>
      </w:r>
      <w:r>
        <w:rPr>
          <w:b/>
          <w:color w:val="000000" w:themeColor="text1"/>
          <w:sz w:val="24"/>
          <w14:textFill>
            <w14:solidFill>
              <w14:schemeClr w14:val="tx1"/>
            </w14:solidFill>
          </w14:textFill>
        </w:rPr>
        <w:t>The course</w:t>
      </w:r>
      <w:r>
        <w:rPr>
          <w:rFonts w:hint="eastAsia"/>
          <w:b/>
          <w:color w:val="000000" w:themeColor="text1"/>
          <w:sz w:val="24"/>
          <w14:textFill>
            <w14:solidFill>
              <w14:schemeClr w14:val="tx1"/>
            </w14:solidFill>
          </w14:textFill>
        </w:rPr>
        <w:t>）</w:t>
      </w:r>
    </w:p>
    <w:p w14:paraId="41A42EAB">
      <w:pPr>
        <w:spacing w:before="156" w:beforeLines="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财务会计理论与实务</w:t>
      </w:r>
    </w:p>
    <w:p w14:paraId="6116AA05">
      <w:pPr>
        <w:rPr>
          <w:color w:val="000000" w:themeColor="text1"/>
          <w:sz w:val="24"/>
          <w14:textFill>
            <w14:solidFill>
              <w14:schemeClr w14:val="tx1"/>
            </w14:solidFill>
          </w14:textFill>
        </w:rPr>
      </w:pPr>
    </w:p>
    <w:p w14:paraId="388B20FC">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授课教师（</w:t>
      </w:r>
      <w:r>
        <w:rPr>
          <w:b/>
          <w:color w:val="000000" w:themeColor="text1"/>
          <w:sz w:val="24"/>
          <w14:textFill>
            <w14:solidFill>
              <w14:schemeClr w14:val="tx1"/>
            </w14:solidFill>
          </w14:textFill>
        </w:rPr>
        <w:t xml:space="preserve">The </w:t>
      </w:r>
      <w:r>
        <w:rPr>
          <w:rFonts w:hint="eastAsia"/>
          <w:b/>
          <w:color w:val="000000" w:themeColor="text1"/>
          <w:sz w:val="24"/>
          <w14:textFill>
            <w14:solidFill>
              <w14:schemeClr w14:val="tx1"/>
            </w14:solidFill>
          </w14:textFill>
        </w:rPr>
        <w:t>teacher）</w:t>
      </w:r>
    </w:p>
    <w:p w14:paraId="562419B6">
      <w:pPr>
        <w:spacing w:before="156" w:beforeLines="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曾庆生、黄俊、牛建军</w:t>
      </w:r>
    </w:p>
    <w:p w14:paraId="3CA2B358">
      <w:pPr>
        <w:rPr>
          <w:color w:val="000000" w:themeColor="text1"/>
          <w:sz w:val="24"/>
          <w14:textFill>
            <w14:solidFill>
              <w14:schemeClr w14:val="tx1"/>
            </w14:solidFill>
          </w14:textFill>
        </w:rPr>
      </w:pPr>
    </w:p>
    <w:p w14:paraId="0987C54D">
      <w:pPr>
        <w:rPr>
          <w:color w:val="000000" w:themeColor="text1"/>
          <w:sz w:val="24"/>
          <w14:textFill>
            <w14:solidFill>
              <w14:schemeClr w14:val="tx1"/>
            </w14:solidFill>
          </w14:textFill>
        </w:rPr>
      </w:pPr>
    </w:p>
    <w:p w14:paraId="26B7B5D7">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助教（The </w:t>
      </w:r>
      <w:r>
        <w:rPr>
          <w:color w:val="000000" w:themeColor="text1"/>
          <w:sz w:val="24"/>
          <w14:textFill>
            <w14:solidFill>
              <w14:schemeClr w14:val="tx1"/>
            </w14:solidFill>
          </w14:textFill>
        </w:rPr>
        <w:t>assistant</w:t>
      </w:r>
      <w:r>
        <w:rPr>
          <w:rFonts w:hint="eastAsia"/>
          <w:color w:val="000000" w:themeColor="text1"/>
          <w:sz w:val="24"/>
          <w14:textFill>
            <w14:solidFill>
              <w14:schemeClr w14:val="tx1"/>
            </w14:solidFill>
          </w14:textFill>
        </w:rPr>
        <w:t>）</w:t>
      </w:r>
    </w:p>
    <w:p w14:paraId="4B01972B">
      <w:pPr>
        <w:rPr>
          <w:color w:val="000000" w:themeColor="text1"/>
          <w:sz w:val="24"/>
          <w14:textFill>
            <w14:solidFill>
              <w14:schemeClr w14:val="tx1"/>
            </w14:solidFill>
          </w14:textFill>
        </w:rPr>
      </w:pPr>
    </w:p>
    <w:p w14:paraId="209E4BB9">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授课对象（The grade and the major of the students）</w:t>
      </w:r>
    </w:p>
    <w:p w14:paraId="43384FD7">
      <w:pPr>
        <w:spacing w:before="156" w:beforeLines="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会计专业硕士（MPAcc）研究生</w:t>
      </w:r>
    </w:p>
    <w:p w14:paraId="7F551A03">
      <w:pPr>
        <w:rPr>
          <w:color w:val="000000" w:themeColor="text1"/>
          <w:sz w:val="24"/>
          <w14:textFill>
            <w14:solidFill>
              <w14:schemeClr w14:val="tx1"/>
            </w14:solidFill>
          </w14:textFill>
        </w:rPr>
      </w:pPr>
    </w:p>
    <w:p w14:paraId="6EFE0E87">
      <w:pPr>
        <w:rPr>
          <w:color w:val="000000" w:themeColor="text1"/>
          <w:sz w:val="24"/>
          <w14:textFill>
            <w14:solidFill>
              <w14:schemeClr w14:val="tx1"/>
            </w14:solidFill>
          </w14:textFill>
        </w:rPr>
      </w:pPr>
    </w:p>
    <w:p w14:paraId="0273464B">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课程类别（The type of the course）</w:t>
      </w:r>
    </w:p>
    <w:p w14:paraId="57B65025">
      <w:pPr>
        <w:spacing w:before="156" w:beforeLines="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学位公共课 / 学位基础课 / 专业必修课 √/ 专业选修课 / 任意选修课</w:t>
      </w:r>
    </w:p>
    <w:p w14:paraId="6CD7A59C">
      <w:pPr>
        <w:rPr>
          <w:color w:val="000000" w:themeColor="text1"/>
          <w:sz w:val="24"/>
          <w14:textFill>
            <w14:solidFill>
              <w14:schemeClr w14:val="tx1"/>
            </w14:solidFill>
          </w14:textFill>
        </w:rPr>
      </w:pPr>
    </w:p>
    <w:p w14:paraId="33D41186">
      <w:pPr>
        <w:rPr>
          <w:color w:val="000000" w:themeColor="text1"/>
          <w:sz w:val="24"/>
          <w14:textFill>
            <w14:solidFill>
              <w14:schemeClr w14:val="tx1"/>
            </w14:solidFill>
          </w14:textFill>
        </w:rPr>
      </w:pPr>
    </w:p>
    <w:p w14:paraId="00C13D40">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总课时（Total hours of the course）</w:t>
      </w:r>
    </w:p>
    <w:p w14:paraId="48BF8CC2">
      <w:pPr>
        <w:spacing w:before="156" w:beforeLines="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48课时</w:t>
      </w:r>
    </w:p>
    <w:p w14:paraId="48AB2B82">
      <w:pPr>
        <w:rPr>
          <w:color w:val="000000" w:themeColor="text1"/>
          <w:sz w:val="24"/>
          <w14:textFill>
            <w14:solidFill>
              <w14:schemeClr w14:val="tx1"/>
            </w14:solidFill>
          </w14:textFill>
        </w:rPr>
      </w:pPr>
    </w:p>
    <w:p w14:paraId="3F2F20E5">
      <w:pPr>
        <w:rPr>
          <w:color w:val="000000" w:themeColor="text1"/>
          <w:sz w:val="24"/>
          <w14:textFill>
            <w14:solidFill>
              <w14:schemeClr w14:val="tx1"/>
            </w14:solidFill>
          </w14:textFill>
        </w:rPr>
      </w:pPr>
    </w:p>
    <w:p w14:paraId="4C718C6C">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学分（The credits of the course）</w:t>
      </w:r>
    </w:p>
    <w:p w14:paraId="79A7F102">
      <w:pPr>
        <w:spacing w:before="156" w:beforeLines="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3学分</w:t>
      </w:r>
    </w:p>
    <w:p w14:paraId="3D2CCB11">
      <w:pPr>
        <w:rPr>
          <w:color w:val="000000" w:themeColor="text1"/>
          <w:sz w:val="24"/>
          <w14:textFill>
            <w14:solidFill>
              <w14:schemeClr w14:val="tx1"/>
            </w14:solidFill>
          </w14:textFill>
        </w:rPr>
      </w:pPr>
    </w:p>
    <w:p w14:paraId="084F9741">
      <w:pPr>
        <w:rPr>
          <w:color w:val="000000" w:themeColor="text1"/>
          <w:sz w:val="24"/>
          <w14:textFill>
            <w14:solidFill>
              <w14:schemeClr w14:val="tx1"/>
            </w14:solidFill>
          </w14:textFill>
        </w:rPr>
      </w:pPr>
    </w:p>
    <w:p w14:paraId="3BC5BDFA">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先修课程（</w:t>
      </w:r>
      <w:r>
        <w:rPr>
          <w:b/>
          <w:color w:val="000000" w:themeColor="text1"/>
          <w:sz w:val="24"/>
          <w14:textFill>
            <w14:solidFill>
              <w14:schemeClr w14:val="tx1"/>
            </w14:solidFill>
          </w14:textFill>
        </w:rPr>
        <w:t>T</w:t>
      </w:r>
      <w:r>
        <w:rPr>
          <w:rFonts w:hint="eastAsia"/>
          <w:b/>
          <w:color w:val="000000" w:themeColor="text1"/>
          <w:sz w:val="24"/>
          <w14:textFill>
            <w14:solidFill>
              <w14:schemeClr w14:val="tx1"/>
            </w14:solidFill>
          </w14:textFill>
        </w:rPr>
        <w:t>he pre-course required）</w:t>
      </w:r>
    </w:p>
    <w:p w14:paraId="61C977FD">
      <w:pPr>
        <w:spacing w:before="156" w:beforeLines="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中级财务会计</w:t>
      </w:r>
    </w:p>
    <w:p w14:paraId="040661AF">
      <w:pPr>
        <w:rPr>
          <w:color w:val="000000" w:themeColor="text1"/>
          <w:sz w:val="24"/>
          <w14:textFill>
            <w14:solidFill>
              <w14:schemeClr w14:val="tx1"/>
            </w14:solidFill>
          </w14:textFill>
        </w:rPr>
      </w:pPr>
    </w:p>
    <w:p w14:paraId="400005CF">
      <w:pPr>
        <w:rPr>
          <w:color w:val="000000" w:themeColor="text1"/>
          <w:sz w:val="24"/>
          <w14:textFill>
            <w14:solidFill>
              <w14:schemeClr w14:val="tx1"/>
            </w14:solidFill>
          </w14:textFill>
        </w:rPr>
      </w:pPr>
    </w:p>
    <w:p w14:paraId="6CD1057F">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教材（The t</w:t>
      </w:r>
      <w:r>
        <w:rPr>
          <w:b/>
          <w:color w:val="000000" w:themeColor="text1"/>
          <w:sz w:val="24"/>
          <w14:textFill>
            <w14:solidFill>
              <w14:schemeClr w14:val="tx1"/>
            </w14:solidFill>
          </w14:textFill>
        </w:rPr>
        <w:t>ext</w:t>
      </w:r>
      <w:r>
        <w:rPr>
          <w:rFonts w:hint="eastAsia"/>
          <w:b/>
          <w:color w:val="000000" w:themeColor="text1"/>
          <w:sz w:val="24"/>
          <w14:textFill>
            <w14:solidFill>
              <w14:schemeClr w14:val="tx1"/>
            </w14:solidFill>
          </w14:textFill>
        </w:rPr>
        <w:t>book）</w:t>
      </w:r>
    </w:p>
    <w:p w14:paraId="57743B17">
      <w:pPr>
        <w:spacing w:before="156" w:beforeLines="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《财务会计理论》，威廉·斯科特，帕特里夏·奥布赖恩著，中国人民大学出版社，2023年。</w:t>
      </w:r>
    </w:p>
    <w:p w14:paraId="1BC2D88A">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《高级财务会计》（第3版），陈信元主编，上海财经大学出版社，2018年。</w:t>
      </w:r>
    </w:p>
    <w:p w14:paraId="2AB53D8D">
      <w:pPr>
        <w:rPr>
          <w:color w:val="000000" w:themeColor="text1"/>
          <w:sz w:val="24"/>
          <w14:textFill>
            <w14:solidFill>
              <w14:schemeClr w14:val="tx1"/>
            </w14:solidFill>
          </w14:textFill>
        </w:rPr>
      </w:pPr>
    </w:p>
    <w:p w14:paraId="16068C0D">
      <w:pPr>
        <w:rPr>
          <w:color w:val="000000" w:themeColor="text1"/>
          <w:sz w:val="24"/>
          <w14:textFill>
            <w14:solidFill>
              <w14:schemeClr w14:val="tx1"/>
            </w14:solidFill>
          </w14:textFill>
        </w:rPr>
      </w:pPr>
    </w:p>
    <w:p w14:paraId="43A22091">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 xml:space="preserve">参考文献和推荐资料（The </w:t>
      </w:r>
      <w:r>
        <w:rPr>
          <w:b/>
          <w:color w:val="000000" w:themeColor="text1"/>
          <w:sz w:val="24"/>
          <w14:textFill>
            <w14:solidFill>
              <w14:schemeClr w14:val="tx1"/>
            </w14:solidFill>
          </w14:textFill>
        </w:rPr>
        <w:t>recommended readings</w:t>
      </w:r>
      <w:r>
        <w:rPr>
          <w:rFonts w:hint="eastAsia"/>
          <w:b/>
          <w:color w:val="000000" w:themeColor="text1"/>
          <w:sz w:val="24"/>
          <w14:textFill>
            <w14:solidFill>
              <w14:schemeClr w14:val="tx1"/>
            </w14:solidFill>
          </w14:textFill>
        </w:rPr>
        <w:t xml:space="preserve"> and websites）</w:t>
      </w:r>
    </w:p>
    <w:p w14:paraId="4AE684DD">
      <w:pPr>
        <w:spacing w:before="156" w:beforeLines="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1.《财务会计理论》，孙铮主编，中国财政经济出版社，2007年。</w:t>
      </w:r>
    </w:p>
    <w:p w14:paraId="33E9780C">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2.《高级财务会计》，Floyd A. Beams，Joseph H. Anthony，Bruce Bettinghaus， Kenneth A. Smith，储一昀译，中国人民大学出版社，2011年。</w:t>
      </w:r>
    </w:p>
    <w:p w14:paraId="69B95DC6">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3.《上市公司执行企业会计准则案例解析》，中国证券监督管理委员会会计部，中国财政经济出版社，2019年。</w:t>
      </w:r>
    </w:p>
    <w:p w14:paraId="7256728F">
      <w:pPr>
        <w:rPr>
          <w:color w:val="000000" w:themeColor="text1"/>
          <w:sz w:val="24"/>
          <w14:textFill>
            <w14:solidFill>
              <w14:schemeClr w14:val="tx1"/>
            </w14:solidFill>
          </w14:textFill>
        </w:rPr>
      </w:pPr>
    </w:p>
    <w:p w14:paraId="061AEA52">
      <w:pPr>
        <w:rPr>
          <w:color w:val="000000" w:themeColor="text1"/>
          <w:sz w:val="24"/>
          <w14:textFill>
            <w14:solidFill>
              <w14:schemeClr w14:val="tx1"/>
            </w14:solidFill>
          </w14:textFill>
        </w:rPr>
      </w:pPr>
    </w:p>
    <w:p w14:paraId="40DC9507">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课程简介（</w:t>
      </w:r>
      <w:r>
        <w:rPr>
          <w:b/>
          <w:color w:val="000000" w:themeColor="text1"/>
          <w:sz w:val="24"/>
          <w14:textFill>
            <w14:solidFill>
              <w14:schemeClr w14:val="tx1"/>
            </w14:solidFill>
          </w14:textFill>
        </w:rPr>
        <w:t xml:space="preserve">The </w:t>
      </w:r>
      <w:r>
        <w:rPr>
          <w:rFonts w:hint="eastAsia"/>
          <w:b/>
          <w:color w:val="000000" w:themeColor="text1"/>
          <w:sz w:val="24"/>
          <w14:textFill>
            <w14:solidFill>
              <w14:schemeClr w14:val="tx1"/>
            </w14:solidFill>
          </w14:textFill>
        </w:rPr>
        <w:t>b</w:t>
      </w:r>
      <w:r>
        <w:rPr>
          <w:b/>
          <w:color w:val="000000" w:themeColor="text1"/>
          <w:sz w:val="24"/>
          <w14:textFill>
            <w14:solidFill>
              <w14:schemeClr w14:val="tx1"/>
            </w14:solidFill>
          </w14:textFill>
        </w:rPr>
        <w:t xml:space="preserve">rief </w:t>
      </w:r>
      <w:r>
        <w:rPr>
          <w:rFonts w:hint="eastAsia"/>
          <w:b/>
          <w:color w:val="000000" w:themeColor="text1"/>
          <w:sz w:val="24"/>
          <w14:textFill>
            <w14:solidFill>
              <w14:schemeClr w14:val="tx1"/>
            </w14:solidFill>
          </w14:textFill>
        </w:rPr>
        <w:t>i</w:t>
      </w:r>
      <w:r>
        <w:rPr>
          <w:b/>
          <w:color w:val="000000" w:themeColor="text1"/>
          <w:sz w:val="24"/>
          <w14:textFill>
            <w14:solidFill>
              <w14:schemeClr w14:val="tx1"/>
            </w14:solidFill>
          </w14:textFill>
        </w:rPr>
        <w:t xml:space="preserve">ntroduction of the </w:t>
      </w:r>
      <w:r>
        <w:rPr>
          <w:rFonts w:hint="eastAsia"/>
          <w:b/>
          <w:color w:val="000000" w:themeColor="text1"/>
          <w:sz w:val="24"/>
          <w14:textFill>
            <w14:solidFill>
              <w14:schemeClr w14:val="tx1"/>
            </w14:solidFill>
          </w14:textFill>
        </w:rPr>
        <w:t>c</w:t>
      </w:r>
      <w:r>
        <w:rPr>
          <w:b/>
          <w:color w:val="000000" w:themeColor="text1"/>
          <w:sz w:val="24"/>
          <w14:textFill>
            <w14:solidFill>
              <w14:schemeClr w14:val="tx1"/>
            </w14:solidFill>
          </w14:textFill>
        </w:rPr>
        <w:t>ourse</w:t>
      </w:r>
      <w:r>
        <w:rPr>
          <w:rFonts w:hint="eastAsia"/>
          <w:b/>
          <w:color w:val="000000" w:themeColor="text1"/>
          <w:sz w:val="24"/>
          <w14:textFill>
            <w14:solidFill>
              <w14:schemeClr w14:val="tx1"/>
            </w14:solidFill>
          </w14:textFill>
        </w:rPr>
        <w:t>）</w:t>
      </w:r>
    </w:p>
    <w:p w14:paraId="1839DB15">
      <w:pPr>
        <w:spacing w:before="156" w:beforeLines="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课程讲授财务会计理论与实务问题，包括财务会计基本理论与高级财务会计实务专题两个模块。理论部分将介绍相关会计理论，为理解当前中国制度背景的财务问题打下会计理论背景，并且结合中国制度背景理解西方理论的适用性和差异性；实务部分将阐述企业合并、合并财务报表的编制、金融工具以及租赁等专题的会计处理方法的基础上，理论与微案例结合，讨论各专题中的复杂问题，特别强调如何通过基于会计理论与准则的职业判断提供解决方案。</w:t>
      </w:r>
    </w:p>
    <w:p w14:paraId="7E967357">
      <w:pPr>
        <w:spacing w:before="156" w:beforeLines="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课程的理论部分旨在通过以下目标提升学生对在市场经济中使用财务会计信息的理解：（1）更好地理解投资决策和管理监管对会计信息的使用；（2）评估管理者选择某些会计方法、会计政策、公司披露等而非其他选择的原因；（3）探讨使用不同计量基准（如历史成本会计、公允价值会计等）编制的会计数字的特性；（4）更好地理解会计概念，如相关性和可靠性、保守性、敏感性和精确性、收益质量等；（5）基于证券交易委员会要求的财务文件、股票市场定价和分析师预测，评估样本企业的财务信息特性；（6）批判现行和拟议的会计准则（征求意见稿）。</w:t>
      </w:r>
    </w:p>
    <w:p w14:paraId="6CD3D214">
      <w:pPr>
        <w:spacing w:before="156" w:beforeLines="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本课程的实务部分旨在通过案例的讨论和实证研究文献的回顾，提升学生解决现实中的复杂财务会计问题的能力，并理解相关具体准则如何影响企业经营行为和经济后果。</w:t>
      </w:r>
    </w:p>
    <w:p w14:paraId="1C446151">
      <w:pPr>
        <w:rPr>
          <w:color w:val="000000" w:themeColor="text1"/>
          <w:sz w:val="24"/>
          <w14:textFill>
            <w14:solidFill>
              <w14:schemeClr w14:val="tx1"/>
            </w14:solidFill>
          </w14:textFill>
        </w:rPr>
      </w:pPr>
    </w:p>
    <w:p w14:paraId="7C065E5F">
      <w:pPr>
        <w:rPr>
          <w:color w:val="000000" w:themeColor="text1"/>
          <w:sz w:val="24"/>
          <w14:textFill>
            <w14:solidFill>
              <w14:schemeClr w14:val="tx1"/>
            </w14:solidFill>
          </w14:textFill>
        </w:rPr>
      </w:pPr>
    </w:p>
    <w:p w14:paraId="61C05DC9">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教学目的（</w:t>
      </w:r>
      <w:r>
        <w:rPr>
          <w:b/>
          <w:color w:val="000000" w:themeColor="text1"/>
          <w:sz w:val="24"/>
          <w14:textFill>
            <w14:solidFill>
              <w14:schemeClr w14:val="tx1"/>
            </w14:solidFill>
          </w14:textFill>
        </w:rPr>
        <w:t xml:space="preserve">The </w:t>
      </w:r>
      <w:r>
        <w:rPr>
          <w:rFonts w:hint="eastAsia"/>
          <w:b/>
          <w:color w:val="000000" w:themeColor="text1"/>
          <w:sz w:val="24"/>
          <w14:textFill>
            <w14:solidFill>
              <w14:schemeClr w14:val="tx1"/>
            </w14:solidFill>
          </w14:textFill>
        </w:rPr>
        <w:t>main aim</w:t>
      </w:r>
      <w:r>
        <w:rPr>
          <w:b/>
          <w:color w:val="000000" w:themeColor="text1"/>
          <w:sz w:val="24"/>
          <w14:textFill>
            <w14:solidFill>
              <w14:schemeClr w14:val="tx1"/>
            </w14:solidFill>
          </w14:textFill>
        </w:rPr>
        <w:t xml:space="preserve"> of </w:t>
      </w:r>
      <w:r>
        <w:rPr>
          <w:rFonts w:hint="eastAsia"/>
          <w:b/>
          <w:color w:val="000000" w:themeColor="text1"/>
          <w:sz w:val="24"/>
          <w14:textFill>
            <w14:solidFill>
              <w14:schemeClr w14:val="tx1"/>
            </w14:solidFill>
          </w14:textFill>
        </w:rPr>
        <w:t>the course）</w:t>
      </w:r>
    </w:p>
    <w:p w14:paraId="610C32BD">
      <w:pPr>
        <w:spacing w:before="156" w:beforeLines="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把握财务会计的基本理论，并能够运用这些理论理解和评估企业经营行为和会计行为的经济后果；能够掌握一定会计相关问题的研究方法并具备基于对企业运营和资本市场的了解提出科学研究问题的能力；能够结合中国制度背景理解西方理论的适用性和差异性。运用所学的会计方法，解决集团公司复杂财务会计问题以及财务会计前沿热点问题。</w:t>
      </w:r>
    </w:p>
    <w:p w14:paraId="5290CF56">
      <w:pPr>
        <w:rPr>
          <w:color w:val="000000" w:themeColor="text1"/>
          <w:sz w:val="24"/>
          <w14:textFill>
            <w14:solidFill>
              <w14:schemeClr w14:val="tx1"/>
            </w14:solidFill>
          </w14:textFill>
        </w:rPr>
      </w:pPr>
    </w:p>
    <w:p w14:paraId="5F150262">
      <w:pPr>
        <w:rPr>
          <w:color w:val="000000" w:themeColor="text1"/>
          <w:sz w:val="24"/>
          <w14:textFill>
            <w14:solidFill>
              <w14:schemeClr w14:val="tx1"/>
            </w14:solidFill>
          </w14:textFill>
        </w:rPr>
      </w:pPr>
    </w:p>
    <w:p w14:paraId="660A0A31">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教学计划（</w:t>
      </w:r>
      <w:r>
        <w:rPr>
          <w:b/>
          <w:color w:val="000000" w:themeColor="text1"/>
          <w:sz w:val="24"/>
          <w14:textFill>
            <w14:solidFill>
              <w14:schemeClr w14:val="tx1"/>
            </w14:solidFill>
          </w14:textFill>
        </w:rPr>
        <w:t xml:space="preserve">The </w:t>
      </w:r>
      <w:r>
        <w:rPr>
          <w:rFonts w:hint="eastAsia"/>
          <w:b/>
          <w:color w:val="000000" w:themeColor="text1"/>
          <w:sz w:val="24"/>
          <w14:textFill>
            <w14:solidFill>
              <w14:schemeClr w14:val="tx1"/>
            </w14:solidFill>
          </w14:textFill>
        </w:rPr>
        <w:t>c</w:t>
      </w:r>
      <w:r>
        <w:rPr>
          <w:b/>
          <w:color w:val="000000" w:themeColor="text1"/>
          <w:sz w:val="24"/>
          <w14:textFill>
            <w14:solidFill>
              <w14:schemeClr w14:val="tx1"/>
            </w14:solidFill>
          </w14:textFill>
        </w:rPr>
        <w:t xml:space="preserve">ourse </w:t>
      </w:r>
      <w:r>
        <w:rPr>
          <w:rFonts w:hint="eastAsia"/>
          <w:b/>
          <w:color w:val="000000" w:themeColor="text1"/>
          <w:sz w:val="24"/>
          <w14:textFill>
            <w14:solidFill>
              <w14:schemeClr w14:val="tx1"/>
            </w14:solidFill>
          </w14:textFill>
        </w:rPr>
        <w:t>s</w:t>
      </w:r>
      <w:r>
        <w:rPr>
          <w:b/>
          <w:color w:val="000000" w:themeColor="text1"/>
          <w:sz w:val="24"/>
          <w14:textFill>
            <w14:solidFill>
              <w14:schemeClr w14:val="tx1"/>
            </w14:solidFill>
          </w14:textFill>
        </w:rPr>
        <w:t>chedule</w:t>
      </w:r>
      <w:r>
        <w:rPr>
          <w:rFonts w:hint="eastAsia"/>
          <w:b/>
          <w:color w:val="000000" w:themeColor="text1"/>
          <w:sz w:val="24"/>
          <w14:textFill>
            <w14:solidFill>
              <w14:schemeClr w14:val="tx1"/>
            </w14:solidFill>
          </w14:textFill>
        </w:rPr>
        <w:t>）</w:t>
      </w:r>
    </w:p>
    <w:p w14:paraId="29F5AE68">
      <w:pPr>
        <w:rPr>
          <w:color w:val="000000" w:themeColor="text1"/>
          <w14:textFill>
            <w14:solidFill>
              <w14:schemeClr w14:val="tx1"/>
            </w14:solidFill>
          </w14:textFill>
        </w:rPr>
      </w:pPr>
    </w:p>
    <w:tbl>
      <w:tblPr>
        <w:tblStyle w:val="5"/>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736"/>
        <w:gridCol w:w="2956"/>
        <w:gridCol w:w="687"/>
        <w:gridCol w:w="3054"/>
      </w:tblGrid>
      <w:tr w14:paraId="6B70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restart"/>
            <w:textDirection w:val="tbRlV"/>
            <w:vAlign w:val="center"/>
          </w:tcPr>
          <w:p w14:paraId="28FD6FB3">
            <w:pPr>
              <w:spacing w:line="480" w:lineRule="auto"/>
              <w:ind w:left="113" w:right="113"/>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周   次</w:t>
            </w:r>
          </w:p>
        </w:tc>
        <w:tc>
          <w:tcPr>
            <w:tcW w:w="3692" w:type="dxa"/>
            <w:gridSpan w:val="2"/>
            <w:vAlign w:val="center"/>
          </w:tcPr>
          <w:p w14:paraId="3D124357">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讲                   课</w:t>
            </w:r>
          </w:p>
        </w:tc>
        <w:tc>
          <w:tcPr>
            <w:tcW w:w="3741" w:type="dxa"/>
            <w:gridSpan w:val="2"/>
            <w:vAlign w:val="center"/>
          </w:tcPr>
          <w:p w14:paraId="19C30EB0">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课堂练习、讨论及课外作业</w:t>
            </w:r>
          </w:p>
        </w:tc>
      </w:tr>
      <w:tr w14:paraId="4165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blHeader/>
          <w:jc w:val="center"/>
        </w:trPr>
        <w:tc>
          <w:tcPr>
            <w:tcW w:w="1008" w:type="dxa"/>
            <w:vMerge w:val="continue"/>
          </w:tcPr>
          <w:p w14:paraId="088484AB">
            <w:pPr>
              <w:spacing w:line="480" w:lineRule="auto"/>
              <w:rPr>
                <w:color w:val="000000" w:themeColor="text1"/>
                <w:szCs w:val="21"/>
                <w14:textFill>
                  <w14:solidFill>
                    <w14:schemeClr w14:val="tx1"/>
                  </w14:solidFill>
                </w14:textFill>
              </w:rPr>
            </w:pPr>
          </w:p>
        </w:tc>
        <w:tc>
          <w:tcPr>
            <w:tcW w:w="736" w:type="dxa"/>
            <w:vAlign w:val="center"/>
          </w:tcPr>
          <w:p w14:paraId="40D14CC6">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时数</w:t>
            </w:r>
          </w:p>
        </w:tc>
        <w:tc>
          <w:tcPr>
            <w:tcW w:w="2956" w:type="dxa"/>
            <w:vAlign w:val="center"/>
          </w:tcPr>
          <w:p w14:paraId="19BEF5FA">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内         容</w:t>
            </w:r>
          </w:p>
        </w:tc>
        <w:tc>
          <w:tcPr>
            <w:tcW w:w="687" w:type="dxa"/>
            <w:vAlign w:val="center"/>
          </w:tcPr>
          <w:p w14:paraId="2846C846">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时数</w:t>
            </w:r>
          </w:p>
        </w:tc>
        <w:tc>
          <w:tcPr>
            <w:tcW w:w="3054" w:type="dxa"/>
            <w:vAlign w:val="center"/>
          </w:tcPr>
          <w:p w14:paraId="624B0778">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内           容</w:t>
            </w:r>
          </w:p>
        </w:tc>
      </w:tr>
      <w:tr w14:paraId="6884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08" w:type="dxa"/>
          </w:tcPr>
          <w:p w14:paraId="75E17876">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736" w:type="dxa"/>
          </w:tcPr>
          <w:p w14:paraId="64D96BC6">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2956" w:type="dxa"/>
          </w:tcPr>
          <w:p w14:paraId="21BEBC25">
            <w:pPr>
              <w:spacing w:line="48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财务会计理论概述</w:t>
            </w:r>
          </w:p>
        </w:tc>
        <w:tc>
          <w:tcPr>
            <w:tcW w:w="687" w:type="dxa"/>
          </w:tcPr>
          <w:p w14:paraId="3B011CA6">
            <w:pPr>
              <w:spacing w:line="480" w:lineRule="auto"/>
              <w:rPr>
                <w:color w:val="000000" w:themeColor="text1"/>
                <w:szCs w:val="21"/>
                <w14:textFill>
                  <w14:solidFill>
                    <w14:schemeClr w14:val="tx1"/>
                  </w14:solidFill>
                </w14:textFill>
              </w:rPr>
            </w:pPr>
          </w:p>
        </w:tc>
        <w:tc>
          <w:tcPr>
            <w:tcW w:w="3054" w:type="dxa"/>
          </w:tcPr>
          <w:p w14:paraId="44AA2EA3">
            <w:pPr>
              <w:spacing w:line="480" w:lineRule="auto"/>
              <w:rPr>
                <w:color w:val="000000" w:themeColor="text1"/>
                <w:szCs w:val="21"/>
                <w14:textFill>
                  <w14:solidFill>
                    <w14:schemeClr w14:val="tx1"/>
                  </w14:solidFill>
                </w14:textFill>
              </w:rPr>
            </w:pPr>
          </w:p>
        </w:tc>
      </w:tr>
      <w:tr w14:paraId="37F9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08" w:type="dxa"/>
          </w:tcPr>
          <w:p w14:paraId="35BADED7">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36" w:type="dxa"/>
          </w:tcPr>
          <w:p w14:paraId="336883E1">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2956" w:type="dxa"/>
          </w:tcPr>
          <w:p w14:paraId="483FC80E">
            <w:pPr>
              <w:spacing w:line="48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财务报告的决策有用观</w:t>
            </w:r>
          </w:p>
        </w:tc>
        <w:tc>
          <w:tcPr>
            <w:tcW w:w="687" w:type="dxa"/>
          </w:tcPr>
          <w:p w14:paraId="0B3E3E3F">
            <w:pPr>
              <w:spacing w:line="480" w:lineRule="auto"/>
              <w:rPr>
                <w:color w:val="000000" w:themeColor="text1"/>
                <w:szCs w:val="21"/>
                <w14:textFill>
                  <w14:solidFill>
                    <w14:schemeClr w14:val="tx1"/>
                  </w14:solidFill>
                </w14:textFill>
              </w:rPr>
            </w:pPr>
          </w:p>
        </w:tc>
        <w:tc>
          <w:tcPr>
            <w:tcW w:w="3054" w:type="dxa"/>
          </w:tcPr>
          <w:p w14:paraId="1DD0E5FC">
            <w:pPr>
              <w:spacing w:line="480" w:lineRule="auto"/>
              <w:rPr>
                <w:color w:val="000000" w:themeColor="text1"/>
                <w:szCs w:val="21"/>
                <w14:textFill>
                  <w14:solidFill>
                    <w14:schemeClr w14:val="tx1"/>
                  </w14:solidFill>
                </w14:textFill>
              </w:rPr>
            </w:pPr>
          </w:p>
        </w:tc>
      </w:tr>
      <w:tr w14:paraId="3589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08" w:type="dxa"/>
          </w:tcPr>
          <w:p w14:paraId="7BEDEB05">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736" w:type="dxa"/>
          </w:tcPr>
          <w:p w14:paraId="40A8AAAE">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2956" w:type="dxa"/>
          </w:tcPr>
          <w:p w14:paraId="528B8210">
            <w:pPr>
              <w:widowControl/>
              <w:jc w:val="left"/>
              <w:rPr>
                <w:rFonts w:ascii="宋体" w:hAnsi="宋体"/>
                <w:vanish/>
                <w:color w:val="000000" w:themeColor="text1"/>
                <w:kern w:val="0"/>
                <w14:textFill>
                  <w14:solidFill>
                    <w14:schemeClr w14:val="tx1"/>
                  </w14:solidFill>
                </w14:textFill>
              </w:rPr>
            </w:pPr>
            <w:r>
              <w:rPr>
                <w:rFonts w:hint="eastAsia"/>
                <w:color w:val="000000" w:themeColor="text1"/>
                <w:szCs w:val="21"/>
                <w14:textFill>
                  <w14:solidFill>
                    <w14:schemeClr w14:val="tx1"/>
                  </w14:solidFill>
                </w14:textFill>
              </w:rPr>
              <w:t>会计信息的价值相关性</w:t>
            </w:r>
          </w:p>
          <w:p w14:paraId="33CDA4CD">
            <w:pPr>
              <w:spacing w:line="480" w:lineRule="auto"/>
              <w:rPr>
                <w:color w:val="000000" w:themeColor="text1"/>
                <w:szCs w:val="21"/>
                <w14:textFill>
                  <w14:solidFill>
                    <w14:schemeClr w14:val="tx1"/>
                  </w14:solidFill>
                </w14:textFill>
              </w:rPr>
            </w:pPr>
          </w:p>
        </w:tc>
        <w:tc>
          <w:tcPr>
            <w:tcW w:w="687" w:type="dxa"/>
          </w:tcPr>
          <w:p w14:paraId="18DD83E6">
            <w:pPr>
              <w:spacing w:line="480" w:lineRule="auto"/>
              <w:rPr>
                <w:color w:val="000000" w:themeColor="text1"/>
                <w:szCs w:val="21"/>
                <w14:textFill>
                  <w14:solidFill>
                    <w14:schemeClr w14:val="tx1"/>
                  </w14:solidFill>
                </w14:textFill>
              </w:rPr>
            </w:pPr>
          </w:p>
        </w:tc>
        <w:tc>
          <w:tcPr>
            <w:tcW w:w="3054" w:type="dxa"/>
          </w:tcPr>
          <w:p w14:paraId="571F84F0">
            <w:pPr>
              <w:spacing w:line="480" w:lineRule="auto"/>
              <w:rPr>
                <w:color w:val="000000" w:themeColor="text1"/>
                <w:szCs w:val="21"/>
                <w14:textFill>
                  <w14:solidFill>
                    <w14:schemeClr w14:val="tx1"/>
                  </w14:solidFill>
                </w14:textFill>
              </w:rPr>
            </w:pPr>
          </w:p>
        </w:tc>
      </w:tr>
      <w:tr w14:paraId="7736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008" w:type="dxa"/>
          </w:tcPr>
          <w:p w14:paraId="021475D8">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736" w:type="dxa"/>
          </w:tcPr>
          <w:p w14:paraId="569A5FB9">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2956" w:type="dxa"/>
          </w:tcPr>
          <w:p w14:paraId="6B7096B5">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决策有用性的计量观</w:t>
            </w:r>
          </w:p>
        </w:tc>
        <w:tc>
          <w:tcPr>
            <w:tcW w:w="687" w:type="dxa"/>
          </w:tcPr>
          <w:p w14:paraId="17054C8A">
            <w:pPr>
              <w:spacing w:line="480" w:lineRule="auto"/>
              <w:rPr>
                <w:color w:val="000000" w:themeColor="text1"/>
                <w:szCs w:val="21"/>
                <w14:textFill>
                  <w14:solidFill>
                    <w14:schemeClr w14:val="tx1"/>
                  </w14:solidFill>
                </w14:textFill>
              </w:rPr>
            </w:pPr>
          </w:p>
        </w:tc>
        <w:tc>
          <w:tcPr>
            <w:tcW w:w="3054" w:type="dxa"/>
          </w:tcPr>
          <w:p w14:paraId="2E4863BB">
            <w:pPr>
              <w:spacing w:line="480" w:lineRule="auto"/>
              <w:rPr>
                <w:color w:val="000000" w:themeColor="text1"/>
                <w:szCs w:val="21"/>
                <w14:textFill>
                  <w14:solidFill>
                    <w14:schemeClr w14:val="tx1"/>
                  </w14:solidFill>
                </w14:textFill>
              </w:rPr>
            </w:pPr>
          </w:p>
        </w:tc>
      </w:tr>
      <w:tr w14:paraId="1B67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08" w:type="dxa"/>
          </w:tcPr>
          <w:p w14:paraId="63C71381">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736" w:type="dxa"/>
          </w:tcPr>
          <w:p w14:paraId="0EEF8F9F">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2956" w:type="dxa"/>
          </w:tcPr>
          <w:p w14:paraId="3442479D">
            <w:pPr>
              <w:spacing w:line="48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有效契约理论与会计</w:t>
            </w:r>
          </w:p>
        </w:tc>
        <w:tc>
          <w:tcPr>
            <w:tcW w:w="687" w:type="dxa"/>
          </w:tcPr>
          <w:p w14:paraId="3E291086">
            <w:pPr>
              <w:spacing w:line="480" w:lineRule="auto"/>
              <w:rPr>
                <w:color w:val="000000" w:themeColor="text1"/>
                <w:szCs w:val="21"/>
                <w14:textFill>
                  <w14:solidFill>
                    <w14:schemeClr w14:val="tx1"/>
                  </w14:solidFill>
                </w14:textFill>
              </w:rPr>
            </w:pPr>
          </w:p>
        </w:tc>
        <w:tc>
          <w:tcPr>
            <w:tcW w:w="3054" w:type="dxa"/>
          </w:tcPr>
          <w:p w14:paraId="0DBF12DA">
            <w:pPr>
              <w:spacing w:line="480" w:lineRule="auto"/>
              <w:rPr>
                <w:color w:val="000000" w:themeColor="text1"/>
                <w:szCs w:val="21"/>
                <w14:textFill>
                  <w14:solidFill>
                    <w14:schemeClr w14:val="tx1"/>
                  </w14:solidFill>
                </w14:textFill>
              </w:rPr>
            </w:pPr>
          </w:p>
        </w:tc>
      </w:tr>
      <w:tr w14:paraId="131D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08" w:type="dxa"/>
          </w:tcPr>
          <w:p w14:paraId="08913249">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736" w:type="dxa"/>
          </w:tcPr>
          <w:p w14:paraId="75C0D47C">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2956" w:type="dxa"/>
          </w:tcPr>
          <w:p w14:paraId="44FC0910">
            <w:pPr>
              <w:spacing w:line="48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盈余管理</w:t>
            </w:r>
          </w:p>
        </w:tc>
        <w:tc>
          <w:tcPr>
            <w:tcW w:w="687" w:type="dxa"/>
          </w:tcPr>
          <w:p w14:paraId="2E49346E">
            <w:pPr>
              <w:spacing w:line="480" w:lineRule="auto"/>
              <w:rPr>
                <w:color w:val="000000" w:themeColor="text1"/>
                <w:szCs w:val="21"/>
                <w14:textFill>
                  <w14:solidFill>
                    <w14:schemeClr w14:val="tx1"/>
                  </w14:solidFill>
                </w14:textFill>
              </w:rPr>
            </w:pPr>
          </w:p>
        </w:tc>
        <w:tc>
          <w:tcPr>
            <w:tcW w:w="3054" w:type="dxa"/>
          </w:tcPr>
          <w:p w14:paraId="711EF1A7">
            <w:pPr>
              <w:spacing w:line="480" w:lineRule="auto"/>
              <w:rPr>
                <w:color w:val="000000" w:themeColor="text1"/>
                <w:szCs w:val="21"/>
                <w14:textFill>
                  <w14:solidFill>
                    <w14:schemeClr w14:val="tx1"/>
                  </w14:solidFill>
                </w14:textFill>
              </w:rPr>
            </w:pPr>
          </w:p>
        </w:tc>
      </w:tr>
      <w:tr w14:paraId="1D5F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08" w:type="dxa"/>
          </w:tcPr>
          <w:p w14:paraId="40A17ADF">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p>
        </w:tc>
        <w:tc>
          <w:tcPr>
            <w:tcW w:w="736" w:type="dxa"/>
          </w:tcPr>
          <w:p w14:paraId="1A3E092F">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2956" w:type="dxa"/>
          </w:tcPr>
          <w:p w14:paraId="1C783B5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企业合并</w:t>
            </w:r>
          </w:p>
        </w:tc>
        <w:tc>
          <w:tcPr>
            <w:tcW w:w="687" w:type="dxa"/>
          </w:tcPr>
          <w:p w14:paraId="0241FA39">
            <w:pPr>
              <w:spacing w:line="480" w:lineRule="auto"/>
              <w:rPr>
                <w:color w:val="000000" w:themeColor="text1"/>
                <w:szCs w:val="21"/>
                <w14:textFill>
                  <w14:solidFill>
                    <w14:schemeClr w14:val="tx1"/>
                  </w14:solidFill>
                </w14:textFill>
              </w:rPr>
            </w:pPr>
          </w:p>
        </w:tc>
        <w:tc>
          <w:tcPr>
            <w:tcW w:w="3054" w:type="dxa"/>
          </w:tcPr>
          <w:p w14:paraId="729F1094">
            <w:pPr>
              <w:spacing w:line="480" w:lineRule="auto"/>
              <w:rPr>
                <w:color w:val="000000" w:themeColor="text1"/>
                <w:szCs w:val="21"/>
                <w14:textFill>
                  <w14:solidFill>
                    <w14:schemeClr w14:val="tx1"/>
                  </w14:solidFill>
                </w14:textFill>
              </w:rPr>
            </w:pPr>
          </w:p>
        </w:tc>
      </w:tr>
      <w:tr w14:paraId="7848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08" w:type="dxa"/>
          </w:tcPr>
          <w:p w14:paraId="4C6381CB">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8-10</w:t>
            </w:r>
          </w:p>
        </w:tc>
        <w:tc>
          <w:tcPr>
            <w:tcW w:w="736" w:type="dxa"/>
          </w:tcPr>
          <w:p w14:paraId="6D52CE1B">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2956" w:type="dxa"/>
          </w:tcPr>
          <w:p w14:paraId="469F6E0B">
            <w:pPr>
              <w:widowControl/>
              <w:jc w:val="left"/>
              <w:rPr>
                <w:rFonts w:ascii="宋体" w:hAnsi="宋体"/>
                <w:vanish/>
                <w:color w:val="000000" w:themeColor="text1"/>
                <w:kern w:val="0"/>
                <w14:textFill>
                  <w14:solidFill>
                    <w14:schemeClr w14:val="tx1"/>
                  </w14:solidFill>
                </w14:textFill>
              </w:rPr>
            </w:pPr>
            <w:r>
              <w:rPr>
                <w:rFonts w:hint="eastAsia" w:hAnsi="Arial"/>
                <w:color w:val="000000" w:themeColor="text1"/>
                <w:szCs w:val="44"/>
                <w14:textFill>
                  <w14:solidFill>
                    <w14:schemeClr w14:val="tx1"/>
                  </w14:solidFill>
                </w14:textFill>
              </w:rPr>
              <w:t>合并财务报表的编制</w:t>
            </w:r>
          </w:p>
          <w:p w14:paraId="4C03D2DA">
            <w:pPr>
              <w:rPr>
                <w:color w:val="000000" w:themeColor="text1"/>
                <w:szCs w:val="21"/>
                <w14:textFill>
                  <w14:solidFill>
                    <w14:schemeClr w14:val="tx1"/>
                  </w14:solidFill>
                </w14:textFill>
              </w:rPr>
            </w:pPr>
          </w:p>
        </w:tc>
        <w:tc>
          <w:tcPr>
            <w:tcW w:w="687" w:type="dxa"/>
          </w:tcPr>
          <w:p w14:paraId="42070810">
            <w:pPr>
              <w:spacing w:line="480" w:lineRule="auto"/>
              <w:rPr>
                <w:color w:val="000000" w:themeColor="text1"/>
                <w:szCs w:val="21"/>
                <w14:textFill>
                  <w14:solidFill>
                    <w14:schemeClr w14:val="tx1"/>
                  </w14:solidFill>
                </w14:textFill>
              </w:rPr>
            </w:pPr>
          </w:p>
        </w:tc>
        <w:tc>
          <w:tcPr>
            <w:tcW w:w="3054" w:type="dxa"/>
          </w:tcPr>
          <w:p w14:paraId="43DF61C2">
            <w:pPr>
              <w:spacing w:line="480" w:lineRule="auto"/>
              <w:rPr>
                <w:color w:val="000000" w:themeColor="text1"/>
                <w:szCs w:val="21"/>
                <w14:textFill>
                  <w14:solidFill>
                    <w14:schemeClr w14:val="tx1"/>
                  </w14:solidFill>
                </w14:textFill>
              </w:rPr>
            </w:pPr>
          </w:p>
        </w:tc>
      </w:tr>
      <w:tr w14:paraId="6DE0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008" w:type="dxa"/>
          </w:tcPr>
          <w:p w14:paraId="1F03A1F8">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w:t>
            </w:r>
          </w:p>
        </w:tc>
        <w:tc>
          <w:tcPr>
            <w:tcW w:w="736" w:type="dxa"/>
          </w:tcPr>
          <w:p w14:paraId="57F677BA">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2956" w:type="dxa"/>
          </w:tcPr>
          <w:p w14:paraId="2810F190">
            <w:pPr>
              <w:widowControl/>
              <w:jc w:val="left"/>
              <w:rPr>
                <w:color w:val="000000" w:themeColor="text1"/>
                <w:szCs w:val="21"/>
                <w14:textFill>
                  <w14:solidFill>
                    <w14:schemeClr w14:val="tx1"/>
                  </w14:solidFill>
                </w14:textFill>
              </w:rPr>
            </w:pPr>
            <w:r>
              <w:rPr>
                <w:rFonts w:hint="eastAsia"/>
                <w:color w:val="000000" w:themeColor="text1"/>
                <w:szCs w:val="48"/>
                <w14:textFill>
                  <w14:solidFill>
                    <w14:schemeClr w14:val="tx1"/>
                  </w14:solidFill>
                </w14:textFill>
              </w:rPr>
              <w:t>金融工具</w:t>
            </w:r>
          </w:p>
        </w:tc>
        <w:tc>
          <w:tcPr>
            <w:tcW w:w="687" w:type="dxa"/>
          </w:tcPr>
          <w:p w14:paraId="4706B7CF">
            <w:pPr>
              <w:spacing w:line="480" w:lineRule="auto"/>
              <w:rPr>
                <w:color w:val="000000" w:themeColor="text1"/>
                <w:szCs w:val="21"/>
                <w14:textFill>
                  <w14:solidFill>
                    <w14:schemeClr w14:val="tx1"/>
                  </w14:solidFill>
                </w14:textFill>
              </w:rPr>
            </w:pPr>
          </w:p>
        </w:tc>
        <w:tc>
          <w:tcPr>
            <w:tcW w:w="3054" w:type="dxa"/>
          </w:tcPr>
          <w:p w14:paraId="701D96CA">
            <w:pPr>
              <w:spacing w:line="480" w:lineRule="auto"/>
              <w:rPr>
                <w:color w:val="000000" w:themeColor="text1"/>
                <w:szCs w:val="21"/>
                <w14:textFill>
                  <w14:solidFill>
                    <w14:schemeClr w14:val="tx1"/>
                  </w14:solidFill>
                </w14:textFill>
              </w:rPr>
            </w:pPr>
          </w:p>
        </w:tc>
      </w:tr>
      <w:tr w14:paraId="7C75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008" w:type="dxa"/>
          </w:tcPr>
          <w:p w14:paraId="2C044A56">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w:t>
            </w:r>
          </w:p>
        </w:tc>
        <w:tc>
          <w:tcPr>
            <w:tcW w:w="736" w:type="dxa"/>
          </w:tcPr>
          <w:p w14:paraId="17B086BB">
            <w:pPr>
              <w:spacing w:line="48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2956" w:type="dxa"/>
          </w:tcPr>
          <w:p w14:paraId="2026E27D">
            <w:pPr>
              <w:rPr>
                <w:color w:val="000000" w:themeColor="text1"/>
                <w:szCs w:val="48"/>
                <w14:textFill>
                  <w14:solidFill>
                    <w14:schemeClr w14:val="tx1"/>
                  </w14:solidFill>
                </w14:textFill>
              </w:rPr>
            </w:pPr>
            <w:r>
              <w:rPr>
                <w:rFonts w:hint="eastAsia"/>
                <w:color w:val="000000" w:themeColor="text1"/>
                <w:szCs w:val="48"/>
                <w14:textFill>
                  <w14:solidFill>
                    <w14:schemeClr w14:val="tx1"/>
                  </w14:solidFill>
                </w14:textFill>
              </w:rPr>
              <w:t>租赁</w:t>
            </w:r>
          </w:p>
        </w:tc>
        <w:tc>
          <w:tcPr>
            <w:tcW w:w="687" w:type="dxa"/>
          </w:tcPr>
          <w:p w14:paraId="7D61C080">
            <w:pPr>
              <w:spacing w:line="480" w:lineRule="auto"/>
              <w:rPr>
                <w:color w:val="000000" w:themeColor="text1"/>
                <w:szCs w:val="21"/>
                <w14:textFill>
                  <w14:solidFill>
                    <w14:schemeClr w14:val="tx1"/>
                  </w14:solidFill>
                </w14:textFill>
              </w:rPr>
            </w:pPr>
          </w:p>
        </w:tc>
        <w:tc>
          <w:tcPr>
            <w:tcW w:w="3054" w:type="dxa"/>
          </w:tcPr>
          <w:p w14:paraId="45A28E6F">
            <w:pPr>
              <w:spacing w:line="480" w:lineRule="auto"/>
              <w:rPr>
                <w:color w:val="000000" w:themeColor="text1"/>
                <w:szCs w:val="21"/>
                <w14:textFill>
                  <w14:solidFill>
                    <w14:schemeClr w14:val="tx1"/>
                  </w14:solidFill>
                </w14:textFill>
              </w:rPr>
            </w:pPr>
          </w:p>
        </w:tc>
      </w:tr>
    </w:tbl>
    <w:p w14:paraId="4414C8D1">
      <w:pPr>
        <w:rPr>
          <w:color w:val="000000" w:themeColor="text1"/>
          <w:sz w:val="24"/>
          <w14:textFill>
            <w14:solidFill>
              <w14:schemeClr w14:val="tx1"/>
            </w14:solidFill>
          </w14:textFill>
        </w:rPr>
      </w:pPr>
    </w:p>
    <w:p w14:paraId="0DD2F814">
      <w:pPr>
        <w:rPr>
          <w:color w:val="000000" w:themeColor="text1"/>
          <w:sz w:val="24"/>
          <w14:textFill>
            <w14:solidFill>
              <w14:schemeClr w14:val="tx1"/>
            </w14:solidFill>
          </w14:textFill>
        </w:rPr>
      </w:pPr>
    </w:p>
    <w:p w14:paraId="210A4D22">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 xml:space="preserve">学习方式（The </w:t>
      </w:r>
      <w:r>
        <w:rPr>
          <w:b/>
          <w:color w:val="000000" w:themeColor="text1"/>
          <w:sz w:val="24"/>
          <w14:textFill>
            <w14:solidFill>
              <w14:schemeClr w14:val="tx1"/>
            </w14:solidFill>
          </w14:textFill>
        </w:rPr>
        <w:t>mode of study</w:t>
      </w:r>
      <w:r>
        <w:rPr>
          <w:rFonts w:hint="eastAsia"/>
          <w:b/>
          <w:color w:val="000000" w:themeColor="text1"/>
          <w:sz w:val="24"/>
          <w14:textFill>
            <w14:solidFill>
              <w14:schemeClr w14:val="tx1"/>
            </w14:solidFill>
          </w14:textFill>
        </w:rPr>
        <w:t>）</w:t>
      </w:r>
    </w:p>
    <w:p w14:paraId="4EEAD6DF">
      <w:pPr>
        <w:spacing w:before="156" w:beforeLines="5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课堂听课</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配以</w:t>
      </w:r>
      <w:r>
        <w:rPr>
          <w:rFonts w:ascii="宋体" w:hAnsi="宋体"/>
          <w:color w:val="000000" w:themeColor="text1"/>
          <w:sz w:val="24"/>
          <w14:textFill>
            <w14:solidFill>
              <w14:schemeClr w14:val="tx1"/>
            </w14:solidFill>
          </w14:textFill>
        </w:rPr>
        <w:t>小组作业和案例</w:t>
      </w:r>
      <w:r>
        <w:rPr>
          <w:rFonts w:hint="eastAsia" w:ascii="宋体" w:hAnsi="宋体"/>
          <w:color w:val="000000" w:themeColor="text1"/>
          <w:sz w:val="24"/>
          <w14:textFill>
            <w14:solidFill>
              <w14:schemeClr w14:val="tx1"/>
            </w14:solidFill>
          </w14:textFill>
        </w:rPr>
        <w:t>报告</w:t>
      </w:r>
      <w:r>
        <w:rPr>
          <w:rFonts w:ascii="宋体" w:hAnsi="宋体"/>
          <w:color w:val="000000" w:themeColor="text1"/>
          <w:sz w:val="24"/>
          <w14:textFill>
            <w14:solidFill>
              <w14:schemeClr w14:val="tx1"/>
            </w14:solidFill>
          </w14:textFill>
        </w:rPr>
        <w:t>。</w:t>
      </w:r>
    </w:p>
    <w:p w14:paraId="5D113AF4">
      <w:pPr>
        <w:rPr>
          <w:color w:val="000000" w:themeColor="text1"/>
          <w:sz w:val="24"/>
          <w14:textFill>
            <w14:solidFill>
              <w14:schemeClr w14:val="tx1"/>
            </w14:solidFill>
          </w14:textFill>
        </w:rPr>
      </w:pPr>
    </w:p>
    <w:p w14:paraId="5DB4C8B2">
      <w:pPr>
        <w:rPr>
          <w:color w:val="000000" w:themeColor="text1"/>
          <w:sz w:val="24"/>
          <w14:textFill>
            <w14:solidFill>
              <w14:schemeClr w14:val="tx1"/>
            </w14:solidFill>
          </w14:textFill>
        </w:rPr>
      </w:pPr>
    </w:p>
    <w:p w14:paraId="129A1A36">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 xml:space="preserve">教学方法（The </w:t>
      </w:r>
      <w:r>
        <w:rPr>
          <w:b/>
          <w:color w:val="000000" w:themeColor="text1"/>
          <w:sz w:val="24"/>
          <w14:textFill>
            <w14:solidFill>
              <w14:schemeClr w14:val="tx1"/>
            </w14:solidFill>
          </w14:textFill>
        </w:rPr>
        <w:t>innovative method used</w:t>
      </w:r>
      <w:r>
        <w:rPr>
          <w:rFonts w:hint="eastAsia"/>
          <w:b/>
          <w:color w:val="000000" w:themeColor="text1"/>
          <w:sz w:val="24"/>
          <w14:textFill>
            <w14:solidFill>
              <w14:schemeClr w14:val="tx1"/>
            </w14:solidFill>
          </w14:textFill>
        </w:rPr>
        <w:t>）</w:t>
      </w:r>
    </w:p>
    <w:p w14:paraId="6B63FACF">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采用理论教学与案例</w:t>
      </w:r>
      <w:r>
        <w:rPr>
          <w:rFonts w:ascii="宋体" w:hAnsi="宋体"/>
          <w:color w:val="000000" w:themeColor="text1"/>
          <w:sz w:val="24"/>
          <w14:textFill>
            <w14:solidFill>
              <w14:schemeClr w14:val="tx1"/>
            </w14:solidFill>
          </w14:textFill>
        </w:rPr>
        <w:t>教学</w:t>
      </w:r>
      <w:r>
        <w:rPr>
          <w:rFonts w:hint="eastAsia" w:ascii="宋体" w:hAnsi="宋体"/>
          <w:color w:val="000000" w:themeColor="text1"/>
          <w:sz w:val="24"/>
          <w14:textFill>
            <w14:solidFill>
              <w14:schemeClr w14:val="tx1"/>
            </w14:solidFill>
          </w14:textFill>
        </w:rPr>
        <w:t>相结合的方式。</w:t>
      </w:r>
    </w:p>
    <w:p w14:paraId="725CB433">
      <w:pPr>
        <w:rPr>
          <w:color w:val="000000" w:themeColor="text1"/>
          <w:sz w:val="24"/>
          <w14:textFill>
            <w14:solidFill>
              <w14:schemeClr w14:val="tx1"/>
            </w14:solidFill>
          </w14:textFill>
        </w:rPr>
      </w:pPr>
    </w:p>
    <w:p w14:paraId="5F4FA407">
      <w:pPr>
        <w:rPr>
          <w:color w:val="000000" w:themeColor="text1"/>
          <w:sz w:val="24"/>
          <w14:textFill>
            <w14:solidFill>
              <w14:schemeClr w14:val="tx1"/>
            </w14:solidFill>
          </w14:textFill>
        </w:rPr>
      </w:pPr>
    </w:p>
    <w:p w14:paraId="67415058">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教学监督（</w:t>
      </w:r>
      <w:r>
        <w:rPr>
          <w:b/>
          <w:color w:val="000000" w:themeColor="text1"/>
          <w:sz w:val="24"/>
          <w14:textFill>
            <w14:solidFill>
              <w14:schemeClr w14:val="tx1"/>
            </w14:solidFill>
          </w14:textFill>
        </w:rPr>
        <w:t>T</w:t>
      </w:r>
      <w:r>
        <w:rPr>
          <w:rFonts w:hint="eastAsia"/>
          <w:b/>
          <w:color w:val="000000" w:themeColor="text1"/>
          <w:sz w:val="24"/>
          <w14:textFill>
            <w14:solidFill>
              <w14:schemeClr w14:val="tx1"/>
            </w14:solidFill>
          </w14:textFill>
        </w:rPr>
        <w:t xml:space="preserve">he </w:t>
      </w:r>
      <w:r>
        <w:rPr>
          <w:b/>
          <w:color w:val="000000" w:themeColor="text1"/>
          <w:sz w:val="24"/>
          <w14:textFill>
            <w14:solidFill>
              <w14:schemeClr w14:val="tx1"/>
            </w14:solidFill>
          </w14:textFill>
        </w:rPr>
        <w:t>details of systems to monitor student progress</w:t>
      </w:r>
      <w:r>
        <w:rPr>
          <w:rFonts w:hint="eastAsia"/>
          <w:b/>
          <w:color w:val="000000" w:themeColor="text1"/>
          <w:sz w:val="24"/>
          <w14:textFill>
            <w14:solidFill>
              <w14:schemeClr w14:val="tx1"/>
            </w14:solidFill>
          </w14:textFill>
        </w:rPr>
        <w:t>）</w:t>
      </w:r>
    </w:p>
    <w:p w14:paraId="1312D36B">
      <w:pPr>
        <w:spacing w:before="156" w:beforeLines="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课堂将进行提问，了解学生听课效果，也将定期评阅学生作业，检查学生的学习情况。</w:t>
      </w:r>
    </w:p>
    <w:p w14:paraId="0808A131">
      <w:pPr>
        <w:rPr>
          <w:color w:val="000000" w:themeColor="text1"/>
          <w:sz w:val="24"/>
          <w14:textFill>
            <w14:solidFill>
              <w14:schemeClr w14:val="tx1"/>
            </w14:solidFill>
          </w14:textFill>
        </w:rPr>
      </w:pPr>
    </w:p>
    <w:p w14:paraId="437F97FD">
      <w:pPr>
        <w:rPr>
          <w:color w:val="000000" w:themeColor="text1"/>
          <w:sz w:val="24"/>
          <w14:textFill>
            <w14:solidFill>
              <w14:schemeClr w14:val="tx1"/>
            </w14:solidFill>
          </w14:textFill>
        </w:rPr>
      </w:pPr>
    </w:p>
    <w:p w14:paraId="23788AC9">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学术道德（The academic ethics）</w:t>
      </w:r>
    </w:p>
    <w:p w14:paraId="030D7BC1">
      <w:pPr>
        <w:spacing w:before="156" w:beforeLines="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要求学生在案例报告的写作中遵循学术规范，进行正确的引文标注。</w:t>
      </w:r>
    </w:p>
    <w:p w14:paraId="6E9645C5">
      <w:pPr>
        <w:rPr>
          <w:color w:val="000000" w:themeColor="text1"/>
          <w:sz w:val="24"/>
          <w14:textFill>
            <w14:solidFill>
              <w14:schemeClr w14:val="tx1"/>
            </w14:solidFill>
          </w14:textFill>
        </w:rPr>
      </w:pPr>
    </w:p>
    <w:p w14:paraId="7581C389">
      <w:pPr>
        <w:rPr>
          <w:color w:val="000000" w:themeColor="text1"/>
          <w:sz w:val="24"/>
          <w14:textFill>
            <w14:solidFill>
              <w14:schemeClr w14:val="tx1"/>
            </w14:solidFill>
          </w14:textFill>
        </w:rPr>
      </w:pPr>
    </w:p>
    <w:p w14:paraId="1D223033">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考核方式（The Assessment）</w:t>
      </w:r>
    </w:p>
    <w:p w14:paraId="4873BC97">
      <w:pPr>
        <w:spacing w:before="156" w:beforeLines="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闭卷  50 </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开卷</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作业</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 xml:space="preserve"> %</w:t>
      </w:r>
    </w:p>
    <w:p w14:paraId="17981302">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论文</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案例</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 xml:space="preserve">20 </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考勤</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 xml:space="preserve"> %</w:t>
      </w:r>
    </w:p>
    <w:p w14:paraId="6D3120D2">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其他</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w:t>
      </w:r>
    </w:p>
    <w:p w14:paraId="0D95F4D7">
      <w:pPr>
        <w:rPr>
          <w:bCs/>
          <w:color w:val="000000" w:themeColor="text1"/>
          <w:sz w:val="24"/>
          <w14:textFill>
            <w14:solidFill>
              <w14:schemeClr w14:val="tx1"/>
            </w14:solidFill>
          </w14:textFill>
        </w:rPr>
      </w:pPr>
    </w:p>
    <w:p w14:paraId="5D88FFE4">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上课教室（The Classroom）</w:t>
      </w:r>
    </w:p>
    <w:p w14:paraId="58345D92">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七教301</w:t>
      </w:r>
    </w:p>
    <w:p w14:paraId="164735C6">
      <w:pPr>
        <w:rPr>
          <w:color w:val="000000" w:themeColor="text1"/>
          <w:sz w:val="24"/>
          <w14:textFill>
            <w14:solidFill>
              <w14:schemeClr w14:val="tx1"/>
            </w14:solidFill>
          </w14:textFill>
        </w:rPr>
      </w:pPr>
    </w:p>
    <w:p w14:paraId="2122B622">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课外答疑（</w:t>
      </w:r>
      <w:r>
        <w:rPr>
          <w:b/>
          <w:color w:val="000000" w:themeColor="text1"/>
          <w:sz w:val="24"/>
          <w14:textFill>
            <w14:solidFill>
              <w14:schemeClr w14:val="tx1"/>
            </w14:solidFill>
          </w14:textFill>
        </w:rPr>
        <w:t>The office hours and address</w:t>
      </w:r>
      <w:r>
        <w:rPr>
          <w:rFonts w:hint="eastAsia"/>
          <w:b/>
          <w:color w:val="000000" w:themeColor="text1"/>
          <w:sz w:val="24"/>
          <w14:textFill>
            <w14:solidFill>
              <w14:schemeClr w14:val="tx1"/>
            </w14:solidFill>
          </w14:textFill>
        </w:rPr>
        <w:t>）</w:t>
      </w:r>
    </w:p>
    <w:p w14:paraId="78B550A1">
      <w:pPr>
        <w:spacing w:before="156" w:beforeLines="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时间：周二15:00—16:00 或事先预约</w:t>
      </w:r>
    </w:p>
    <w:p w14:paraId="3ED004C6">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地点：会计学院330办公室</w:t>
      </w:r>
    </w:p>
    <w:p w14:paraId="75568876">
      <w:pPr>
        <w:rPr>
          <w:color w:val="000000" w:themeColor="text1"/>
          <w:sz w:val="24"/>
          <w14:textFill>
            <w14:solidFill>
              <w14:schemeClr w14:val="tx1"/>
            </w14:solidFill>
          </w14:textFill>
        </w:rPr>
      </w:pPr>
    </w:p>
    <w:p w14:paraId="5062BF0F">
      <w:pPr>
        <w:rPr>
          <w:color w:val="000000" w:themeColor="text1"/>
          <w:sz w:val="24"/>
          <w14:textFill>
            <w14:solidFill>
              <w14:schemeClr w14:val="tx1"/>
            </w14:solidFill>
          </w14:textFill>
        </w:rPr>
      </w:pPr>
    </w:p>
    <w:p w14:paraId="38CCD70C">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教学内容（</w:t>
      </w:r>
      <w:r>
        <w:rPr>
          <w:b/>
          <w:color w:val="000000" w:themeColor="text1"/>
          <w:sz w:val="24"/>
          <w14:textFill>
            <w14:solidFill>
              <w14:schemeClr w14:val="tx1"/>
            </w14:solidFill>
          </w14:textFill>
        </w:rPr>
        <w:t xml:space="preserve">The brief description of </w:t>
      </w:r>
      <w:r>
        <w:rPr>
          <w:rFonts w:hint="eastAsia"/>
          <w:b/>
          <w:color w:val="000000" w:themeColor="text1"/>
          <w:sz w:val="24"/>
          <w14:textFill>
            <w14:solidFill>
              <w14:schemeClr w14:val="tx1"/>
            </w14:solidFill>
          </w14:textFill>
        </w:rPr>
        <w:t xml:space="preserve">the course </w:t>
      </w:r>
      <w:r>
        <w:rPr>
          <w:b/>
          <w:color w:val="000000" w:themeColor="text1"/>
          <w:sz w:val="24"/>
          <w14:textFill>
            <w14:solidFill>
              <w14:schemeClr w14:val="tx1"/>
            </w14:solidFill>
          </w14:textFill>
        </w:rPr>
        <w:t>content</w:t>
      </w:r>
      <w:r>
        <w:rPr>
          <w:rFonts w:hint="eastAsia"/>
          <w:b/>
          <w:color w:val="000000" w:themeColor="text1"/>
          <w:sz w:val="24"/>
          <w14:textFill>
            <w14:solidFill>
              <w14:schemeClr w14:val="tx1"/>
            </w14:solidFill>
          </w14:textFill>
        </w:rPr>
        <w:t>）</w:t>
      </w:r>
    </w:p>
    <w:p w14:paraId="413BB24A">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第一</w:t>
      </w:r>
      <w:bookmarkStart w:id="2" w:name="_GoBack"/>
      <w:bookmarkEnd w:id="2"/>
      <w:r>
        <w:rPr>
          <w:rFonts w:hint="eastAsia"/>
          <w:b/>
          <w:color w:val="000000" w:themeColor="text1"/>
          <w:sz w:val="24"/>
          <w14:textFill>
            <w14:solidFill>
              <w14:schemeClr w14:val="tx1"/>
            </w14:solidFill>
          </w14:textFill>
        </w:rPr>
        <w:t>章  财务会计理论概述</w:t>
      </w:r>
    </w:p>
    <w:p w14:paraId="094E1C30">
      <w:p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 西方</w:t>
      </w:r>
      <w:r>
        <w:rPr>
          <w:rFonts w:hint="eastAsia" w:ascii="宋体" w:hAnsi="宋体"/>
          <w:color w:val="000000" w:themeColor="text1"/>
          <w:sz w:val="24"/>
          <w14:textFill>
            <w14:solidFill>
              <w14:schemeClr w14:val="tx1"/>
            </w14:solidFill>
          </w14:textFill>
        </w:rPr>
        <w:t>财务会计理论体系</w:t>
      </w:r>
    </w:p>
    <w:p w14:paraId="305ADDFE">
      <w:p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中国制度背景介绍</w:t>
      </w:r>
    </w:p>
    <w:p w14:paraId="2B1231E8">
      <w:pPr>
        <w:ind w:firstLine="484" w:firstLineChars="202"/>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制度环境对财务会计范式、</w:t>
      </w:r>
      <w:r>
        <w:rPr>
          <w:rFonts w:ascii="宋体" w:hAnsi="宋体"/>
          <w:color w:val="000000" w:themeColor="text1"/>
          <w:sz w:val="24"/>
          <w14:textFill>
            <w14:solidFill>
              <w14:schemeClr w14:val="tx1"/>
            </w14:solidFill>
          </w14:textFill>
        </w:rPr>
        <w:t>功能</w:t>
      </w:r>
      <w:r>
        <w:rPr>
          <w:rFonts w:hint="eastAsia" w:ascii="宋体" w:hAnsi="宋体"/>
          <w:color w:val="000000" w:themeColor="text1"/>
          <w:sz w:val="24"/>
          <w14:textFill>
            <w14:solidFill>
              <w14:schemeClr w14:val="tx1"/>
            </w14:solidFill>
          </w14:textFill>
        </w:rPr>
        <w:t>和质量特征的影响</w:t>
      </w:r>
    </w:p>
    <w:p w14:paraId="3357D963">
      <w:pPr>
        <w:rPr>
          <w:color w:val="000000" w:themeColor="text1"/>
          <w:sz w:val="24"/>
          <w14:textFill>
            <w14:solidFill>
              <w14:schemeClr w14:val="tx1"/>
            </w14:solidFill>
          </w14:textFill>
        </w:rPr>
      </w:pPr>
    </w:p>
    <w:p w14:paraId="44AC7A0D">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第二章  财务报告的决策有用观</w:t>
      </w:r>
    </w:p>
    <w:p w14:paraId="70A54F8D">
      <w:p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投资者理性决策模型</w:t>
      </w:r>
    </w:p>
    <w:p w14:paraId="00A0B027">
      <w:p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贝叶斯定理与会计信息系统</w:t>
      </w:r>
    </w:p>
    <w:p w14:paraId="04E25930">
      <w:p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会计信息的决策有用性</w:t>
      </w:r>
    </w:p>
    <w:p w14:paraId="38CEFE61">
      <w:pPr>
        <w:rPr>
          <w:color w:val="000000" w:themeColor="text1"/>
          <w:sz w:val="24"/>
          <w14:textFill>
            <w14:solidFill>
              <w14:schemeClr w14:val="tx1"/>
            </w14:solidFill>
          </w14:textFill>
        </w:rPr>
      </w:pPr>
    </w:p>
    <w:p w14:paraId="79BE4BE3">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第三章  会计信息的价值相关性</w:t>
      </w:r>
    </w:p>
    <w:p w14:paraId="2509BBEF">
      <w:p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会计信息观概述</w:t>
      </w:r>
    </w:p>
    <w:p w14:paraId="04AA8E15">
      <w:p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会计信息观的经验证据</w:t>
      </w:r>
    </w:p>
    <w:p w14:paraId="533E3F73">
      <w:pPr>
        <w:ind w:firstLine="484" w:firstLineChars="202"/>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 盈余反应系数</w:t>
      </w:r>
    </w:p>
    <w:p w14:paraId="24A0B97E">
      <w:pPr>
        <w:rPr>
          <w:color w:val="000000" w:themeColor="text1"/>
          <w:sz w:val="24"/>
          <w14:textFill>
            <w14:solidFill>
              <w14:schemeClr w14:val="tx1"/>
            </w14:solidFill>
          </w14:textFill>
        </w:rPr>
      </w:pPr>
    </w:p>
    <w:p w14:paraId="2B50F123">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第四章  决策有用性的计量观</w:t>
      </w:r>
    </w:p>
    <w:p w14:paraId="6531893B">
      <w:p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有效证券市场的异常现象</w:t>
      </w:r>
    </w:p>
    <w:p w14:paraId="5AD11BD2">
      <w:p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财务报表信息的低价值相关性</w:t>
      </w:r>
    </w:p>
    <w:p w14:paraId="7F5AC560">
      <w:p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 </w:t>
      </w:r>
      <w:r>
        <w:rPr>
          <w:color w:val="000000" w:themeColor="text1"/>
          <w:sz w:val="24"/>
          <w14:textFill>
            <w14:solidFill>
              <w14:schemeClr w14:val="tx1"/>
            </w14:solidFill>
          </w14:textFill>
        </w:rPr>
        <w:t>Ohlson</w:t>
      </w:r>
      <w:r>
        <w:rPr>
          <w:rFonts w:hint="eastAsia" w:ascii="宋体" w:hAnsi="宋体"/>
          <w:color w:val="000000" w:themeColor="text1"/>
          <w:sz w:val="24"/>
          <w14:textFill>
            <w14:solidFill>
              <w14:schemeClr w14:val="tx1"/>
            </w14:solidFill>
          </w14:textFill>
        </w:rPr>
        <w:t>的净剩余理论</w:t>
      </w:r>
    </w:p>
    <w:p w14:paraId="0E2668BD">
      <w:pPr>
        <w:rPr>
          <w:color w:val="000000" w:themeColor="text1"/>
          <w:sz w:val="24"/>
          <w14:textFill>
            <w14:solidFill>
              <w14:schemeClr w14:val="tx1"/>
            </w14:solidFill>
          </w14:textFill>
        </w:rPr>
      </w:pPr>
    </w:p>
    <w:p w14:paraId="4EAD0657">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第五章  有效契约理论与会计</w:t>
      </w:r>
    </w:p>
    <w:p w14:paraId="4384441B">
      <w:p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企业</w:t>
      </w:r>
      <w:r>
        <w:rPr>
          <w:rFonts w:hint="eastAsia" w:ascii="宋体" w:hAnsi="宋体"/>
          <w:color w:val="000000" w:themeColor="text1"/>
          <w:sz w:val="24"/>
          <w14:textFill>
            <w14:solidFill>
              <w14:schemeClr w14:val="tx1"/>
            </w14:solidFill>
          </w14:textFill>
        </w:rPr>
        <w:t>的契约理论</w:t>
      </w:r>
    </w:p>
    <w:p w14:paraId="064DAF00">
      <w:p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有效契约对会计信息的需求来源</w:t>
      </w:r>
    </w:p>
    <w:p w14:paraId="270EA6BD">
      <w:p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会计信息在贷款和高管薪酬契约中的作用</w:t>
      </w:r>
    </w:p>
    <w:p w14:paraId="225CBF10">
      <w:pPr>
        <w:rPr>
          <w:color w:val="000000" w:themeColor="text1"/>
          <w:sz w:val="24"/>
          <w14:textFill>
            <w14:solidFill>
              <w14:schemeClr w14:val="tx1"/>
            </w14:solidFill>
          </w14:textFill>
        </w:rPr>
      </w:pPr>
    </w:p>
    <w:p w14:paraId="558DD873">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第六章  盈余管理</w:t>
      </w:r>
    </w:p>
    <w:p w14:paraId="768EF882">
      <w:pPr>
        <w:ind w:firstLine="484" w:firstLineChars="202"/>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盈余</w:t>
      </w:r>
      <w:r>
        <w:rPr>
          <w:rFonts w:hint="eastAsia" w:ascii="宋体" w:hAnsi="宋体"/>
          <w:color w:val="000000" w:themeColor="text1"/>
          <w:sz w:val="24"/>
          <w14:textFill>
            <w14:solidFill>
              <w14:schemeClr w14:val="tx1"/>
            </w14:solidFill>
          </w14:textFill>
        </w:rPr>
        <w:t>管理的模式</w:t>
      </w:r>
    </w:p>
    <w:p w14:paraId="54C11BB9">
      <w:p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盈余管理的动机</w:t>
      </w:r>
    </w:p>
    <w:p w14:paraId="3B284715">
      <w:pPr>
        <w:ind w:firstLine="484" w:firstLineChars="202"/>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 xml:space="preserve"> 盈余管理的两面性</w:t>
      </w:r>
    </w:p>
    <w:p w14:paraId="4567A0C1">
      <w:pPr>
        <w:rPr>
          <w:b/>
          <w:color w:val="000000" w:themeColor="text1"/>
          <w:sz w:val="24"/>
          <w14:textFill>
            <w14:solidFill>
              <w14:schemeClr w14:val="tx1"/>
            </w14:solidFill>
          </w14:textFill>
        </w:rPr>
      </w:pPr>
    </w:p>
    <w:p w14:paraId="4A47E644">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第七章  企业合并</w:t>
      </w:r>
    </w:p>
    <w:p w14:paraId="014E6AF0">
      <w:pPr>
        <w:ind w:firstLine="484" w:firstLineChars="202"/>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 xml:space="preserve"> 企业合并的会计方法：购买法/并购法</w:t>
      </w:r>
    </w:p>
    <w:p w14:paraId="386933DB">
      <w:p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企业合并的会计方法：权益结合法</w:t>
      </w:r>
    </w:p>
    <w:p w14:paraId="3D844F62">
      <w:pPr>
        <w:ind w:firstLine="484" w:firstLineChars="202"/>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 xml:space="preserve"> 反向购买会计</w:t>
      </w:r>
    </w:p>
    <w:p w14:paraId="3F4146E3">
      <w:pPr>
        <w:rPr>
          <w:bCs/>
          <w:color w:val="000000" w:themeColor="text1"/>
          <w:sz w:val="24"/>
          <w14:textFill>
            <w14:solidFill>
              <w14:schemeClr w14:val="tx1"/>
            </w14:solidFill>
          </w14:textFill>
        </w:rPr>
      </w:pPr>
    </w:p>
    <w:p w14:paraId="7E4EC6E9">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第八章  合并财务报表的编制</w:t>
      </w:r>
    </w:p>
    <w:p w14:paraId="292C8456">
      <w:pPr>
        <w:ind w:firstLine="484" w:firstLineChars="202"/>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 xml:space="preserve"> 合并财务报表概述</w:t>
      </w:r>
    </w:p>
    <w:p w14:paraId="2BDD9789">
      <w:p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合并抵消程序：国外主流教材VS中国CPA教材</w:t>
      </w:r>
    </w:p>
    <w:p w14:paraId="6F0B2767">
      <w:pPr>
        <w:ind w:firstLine="484" w:firstLineChars="202"/>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 xml:space="preserve"> 特殊交易的处理</w:t>
      </w:r>
    </w:p>
    <w:p w14:paraId="136139FE">
      <w:pPr>
        <w:ind w:firstLine="484" w:firstLineChars="202"/>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复杂股权结构</w:t>
      </w:r>
    </w:p>
    <w:p w14:paraId="2B8E7668">
      <w:pPr>
        <w:ind w:firstLine="484" w:firstLineChars="202"/>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合并现金流量表</w:t>
      </w:r>
    </w:p>
    <w:p w14:paraId="5E5061BC">
      <w:pPr>
        <w:rPr>
          <w:bCs/>
          <w:color w:val="000000" w:themeColor="text1"/>
          <w:sz w:val="24"/>
          <w14:textFill>
            <w14:solidFill>
              <w14:schemeClr w14:val="tx1"/>
            </w14:solidFill>
          </w14:textFill>
        </w:rPr>
      </w:pPr>
    </w:p>
    <w:p w14:paraId="1FE5ED31">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第九章  金融工具</w:t>
      </w:r>
    </w:p>
    <w:p w14:paraId="13AD12C5">
      <w:pPr>
        <w:numPr>
          <w:ilvl w:val="0"/>
          <w:numId w:val="1"/>
        </w:num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新金融工具准则的变化 </w:t>
      </w:r>
    </w:p>
    <w:p w14:paraId="04C8BCED">
      <w:pPr>
        <w:numPr>
          <w:ilvl w:val="0"/>
          <w:numId w:val="1"/>
        </w:num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衍生金融工具</w:t>
      </w:r>
    </w:p>
    <w:p w14:paraId="538EE8BA">
      <w:pPr>
        <w:rPr>
          <w:bCs/>
          <w:color w:val="000000" w:themeColor="text1"/>
          <w:sz w:val="24"/>
          <w14:textFill>
            <w14:solidFill>
              <w14:schemeClr w14:val="tx1"/>
            </w14:solidFill>
          </w14:textFill>
        </w:rPr>
      </w:pPr>
    </w:p>
    <w:p w14:paraId="06CE2305">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第十章  租赁</w:t>
      </w:r>
    </w:p>
    <w:p w14:paraId="3C182FB2">
      <w:p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租赁准则的演变及原因</w:t>
      </w:r>
    </w:p>
    <w:p w14:paraId="06EA8307">
      <w:p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识别租赁及租赁与服务</w:t>
      </w:r>
    </w:p>
    <w:p w14:paraId="6DB16255">
      <w:pPr>
        <w:ind w:firstLine="484" w:firstLineChars="202"/>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承租方会计</w:t>
      </w:r>
    </w:p>
    <w:p w14:paraId="491638F6">
      <w:pPr>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租赁中的特殊会计问题</w:t>
      </w:r>
    </w:p>
    <w:p w14:paraId="0973CA15">
      <w:pPr>
        <w:ind w:firstLine="484" w:firstLineChars="202"/>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新租赁的经济后果</w:t>
      </w:r>
    </w:p>
    <w:p w14:paraId="2D755612">
      <w:pPr>
        <w:ind w:firstLine="484" w:firstLineChars="202"/>
        <w:rPr>
          <w:color w:val="000000" w:themeColor="text1"/>
          <w:sz w:val="24"/>
          <w14:textFill>
            <w14:solidFill>
              <w14:schemeClr w14:val="tx1"/>
            </w14:solidFill>
          </w14:textFill>
        </w:rPr>
      </w:pPr>
    </w:p>
    <w:p w14:paraId="2CDFC0C8">
      <w:pPr>
        <w:rPr>
          <w:rFonts w:ascii="宋体" w:hAnsi="宋体"/>
          <w:color w:val="000000" w:themeColor="text1"/>
          <w:sz w:val="24"/>
          <w14:textFill>
            <w14:solidFill>
              <w14:schemeClr w14:val="tx1"/>
            </w14:solidFill>
          </w14:textFill>
        </w:rPr>
      </w:pPr>
    </w:p>
    <w:p w14:paraId="0048DE37">
      <w:pPr>
        <w:rPr>
          <w:bCs/>
          <w:color w:val="000000" w:themeColor="text1"/>
          <w:sz w:val="24"/>
          <w14:textFill>
            <w14:solidFill>
              <w14:schemeClr w14:val="tx1"/>
            </w14:solidFill>
          </w14:textFill>
        </w:rPr>
      </w:pPr>
    </w:p>
    <w:p w14:paraId="0B09808F">
      <w:pPr>
        <w:ind w:left="485"/>
        <w:rPr>
          <w:rFonts w:ascii="宋体" w:hAnsi="宋体"/>
          <w:color w:val="000000" w:themeColor="text1"/>
          <w:sz w:val="24"/>
          <w14:textFill>
            <w14:solidFill>
              <w14:schemeClr w14:val="tx1"/>
            </w14:solidFill>
          </w14:textFill>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9972">
    <w:pPr>
      <w:pStyle w:val="3"/>
      <w:jc w:val="center"/>
    </w:pPr>
    <w:r>
      <w:fldChar w:fldCharType="begin"/>
    </w:r>
    <w:r>
      <w:instrText xml:space="preserve"> PAGE   \* MERGEFORMAT </w:instrText>
    </w:r>
    <w:r>
      <w:fldChar w:fldCharType="separate"/>
    </w:r>
    <w:r>
      <w:rPr>
        <w:lang w:val="zh-CN"/>
      </w:rPr>
      <w:t>5</w:t>
    </w:r>
    <w:r>
      <w:rPr>
        <w:lang w:val="zh-CN"/>
      </w:rPr>
      <w:fldChar w:fldCharType="end"/>
    </w:r>
  </w:p>
  <w:p w14:paraId="3A684DE0">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7CF77"/>
    <w:multiLevelType w:val="singleLevel"/>
    <w:tmpl w:val="4127CF7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jMmQyZmE2M2U0ZmU4MDI4NzYyMDI0NmIzOTFlYzUifQ=="/>
  </w:docVars>
  <w:rsids>
    <w:rsidRoot w:val="00D91640"/>
    <w:rsid w:val="00012748"/>
    <w:rsid w:val="00086F50"/>
    <w:rsid w:val="000919FA"/>
    <w:rsid w:val="000E4AAE"/>
    <w:rsid w:val="001558D0"/>
    <w:rsid w:val="001A1358"/>
    <w:rsid w:val="001C3318"/>
    <w:rsid w:val="00225E59"/>
    <w:rsid w:val="0023496C"/>
    <w:rsid w:val="002B086D"/>
    <w:rsid w:val="0031060D"/>
    <w:rsid w:val="003147EC"/>
    <w:rsid w:val="00320AB9"/>
    <w:rsid w:val="003279DA"/>
    <w:rsid w:val="0037216E"/>
    <w:rsid w:val="00382C23"/>
    <w:rsid w:val="003848B5"/>
    <w:rsid w:val="003E500B"/>
    <w:rsid w:val="003F6278"/>
    <w:rsid w:val="004317A9"/>
    <w:rsid w:val="00494561"/>
    <w:rsid w:val="0049640C"/>
    <w:rsid w:val="004B7110"/>
    <w:rsid w:val="004E7734"/>
    <w:rsid w:val="00532304"/>
    <w:rsid w:val="005C6FF4"/>
    <w:rsid w:val="005D2EF7"/>
    <w:rsid w:val="005D7838"/>
    <w:rsid w:val="00650F97"/>
    <w:rsid w:val="00654375"/>
    <w:rsid w:val="006609BB"/>
    <w:rsid w:val="00687A27"/>
    <w:rsid w:val="006A079D"/>
    <w:rsid w:val="006D0996"/>
    <w:rsid w:val="006F6972"/>
    <w:rsid w:val="00707DAF"/>
    <w:rsid w:val="0072107A"/>
    <w:rsid w:val="00744A89"/>
    <w:rsid w:val="0075163D"/>
    <w:rsid w:val="00754144"/>
    <w:rsid w:val="0079071F"/>
    <w:rsid w:val="00795E38"/>
    <w:rsid w:val="007E4242"/>
    <w:rsid w:val="007F457E"/>
    <w:rsid w:val="008403AA"/>
    <w:rsid w:val="00853EB1"/>
    <w:rsid w:val="00865E82"/>
    <w:rsid w:val="00923B98"/>
    <w:rsid w:val="00931E1B"/>
    <w:rsid w:val="009608A5"/>
    <w:rsid w:val="009D652F"/>
    <w:rsid w:val="009E2776"/>
    <w:rsid w:val="00A835BF"/>
    <w:rsid w:val="00AB6D6E"/>
    <w:rsid w:val="00AE01F4"/>
    <w:rsid w:val="00B5492A"/>
    <w:rsid w:val="00B611DD"/>
    <w:rsid w:val="00B671CA"/>
    <w:rsid w:val="00BC4577"/>
    <w:rsid w:val="00C21524"/>
    <w:rsid w:val="00C6580F"/>
    <w:rsid w:val="00C77CD5"/>
    <w:rsid w:val="00C83C63"/>
    <w:rsid w:val="00C84385"/>
    <w:rsid w:val="00D22DF0"/>
    <w:rsid w:val="00D63672"/>
    <w:rsid w:val="00D91640"/>
    <w:rsid w:val="00E036FC"/>
    <w:rsid w:val="00E05C6C"/>
    <w:rsid w:val="00E14BA8"/>
    <w:rsid w:val="00E67616"/>
    <w:rsid w:val="00E700CB"/>
    <w:rsid w:val="00E825C5"/>
    <w:rsid w:val="00E9107F"/>
    <w:rsid w:val="00EA5B6C"/>
    <w:rsid w:val="00EE1E0A"/>
    <w:rsid w:val="00EF55E1"/>
    <w:rsid w:val="00F94FD7"/>
    <w:rsid w:val="00FA0A3A"/>
    <w:rsid w:val="00FA5353"/>
    <w:rsid w:val="00FB0F3E"/>
    <w:rsid w:val="00FB1B98"/>
    <w:rsid w:val="00FF0A31"/>
    <w:rsid w:val="12A7039F"/>
    <w:rsid w:val="132E423C"/>
    <w:rsid w:val="27587768"/>
    <w:rsid w:val="27FA6B3B"/>
    <w:rsid w:val="30960288"/>
    <w:rsid w:val="338444DA"/>
    <w:rsid w:val="546E4AB6"/>
    <w:rsid w:val="630C1F48"/>
    <w:rsid w:val="7ABF78C1"/>
    <w:rsid w:val="7DD84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u w:val="single"/>
    </w:rPr>
  </w:style>
  <w:style w:type="character" w:customStyle="1" w:styleId="9">
    <w:name w:val="样式1"/>
    <w:basedOn w:val="7"/>
    <w:qFormat/>
    <w:uiPriority w:val="0"/>
    <w:rPr>
      <w:rFonts w:ascii="楷体_GB2312" w:eastAsia="楷体_GB2312"/>
      <w:sz w:val="24"/>
    </w:r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99"/>
    <w:rPr>
      <w:kern w:val="2"/>
      <w:sz w:val="18"/>
      <w:szCs w:val="18"/>
    </w:rPr>
  </w:style>
  <w:style w:type="character" w:customStyle="1" w:styleId="12">
    <w:name w:val="批注框文本 字符"/>
    <w:basedOn w:val="7"/>
    <w:link w:val="2"/>
    <w:qFormat/>
    <w:uiPriority w:val="0"/>
    <w:rPr>
      <w:kern w:val="2"/>
      <w:sz w:val="18"/>
      <w:szCs w:val="18"/>
    </w:rPr>
  </w:style>
  <w:style w:type="character" w:customStyle="1" w:styleId="13">
    <w:name w:val="apple-converted-space"/>
    <w:basedOn w:val="7"/>
    <w:qFormat/>
    <w:uiPriority w:val="0"/>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shufe</Company>
  <Pages>5</Pages>
  <Words>1933</Words>
  <Characters>2466</Characters>
  <Lines>20</Lines>
  <Paragraphs>5</Paragraphs>
  <TotalTime>0</TotalTime>
  <ScaleCrop>false</ScaleCrop>
  <LinksUpToDate>false</LinksUpToDate>
  <CharactersWithSpaces>2688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2026-03-30T11:35:00Z</dcterms:created>
  <dc:creator>GS</dc:creator>
  <cp:lastModifiedBy>张天舒</cp:lastModifiedBy>
  <dcterms:modified xsi:type="dcterms:W3CDTF">2026-03-31T00:44:01Z</dcterms:modified>
  <dc:title>上海财经大学研究生课程教学大纲</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88174793D73A4E92A44CEC19430192C3_12</vt:lpwstr>
  </property>
  <property fmtid="{D5CDD505-2E9C-101B-9397-08002B2CF9AE}" pid="4" name="KSOTemplateDocerSaveRecord">
    <vt:lpwstr>eyJoZGlkIjoiNTZjMmQyZmE2M2U0ZmU4MDI4NzYyMDI0NmIzOTFlYzUiLCJ1c2VySWQiOiI1ODI2ODQ2NjIifQ==</vt:lpwstr>
  </property>
</Properties>
</file>