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FBA01" w14:textId="77777777" w:rsidR="00B615B6" w:rsidRDefault="00D97594">
      <w:pPr>
        <w:jc w:val="center"/>
        <w:rPr>
          <w:b/>
          <w:sz w:val="44"/>
          <w:szCs w:val="44"/>
        </w:rPr>
      </w:pPr>
      <w:r>
        <w:rPr>
          <w:rFonts w:hint="eastAsia"/>
          <w:b/>
          <w:sz w:val="44"/>
          <w:szCs w:val="44"/>
        </w:rPr>
        <w:t>《房地产估价理论与实务》教学大纲</w:t>
      </w:r>
    </w:p>
    <w:p w14:paraId="68BF0BA6" w14:textId="77777777" w:rsidR="00B615B6" w:rsidRDefault="00D97594">
      <w:pPr>
        <w:jc w:val="center"/>
      </w:pPr>
      <w:r>
        <w:rPr>
          <w:rFonts w:hint="eastAsia"/>
        </w:rPr>
        <w:t>(2025</w:t>
      </w:r>
      <w:r>
        <w:rPr>
          <w:rFonts w:hint="eastAsia"/>
        </w:rPr>
        <w:t>－</w:t>
      </w:r>
      <w:r>
        <w:rPr>
          <w:rFonts w:hint="eastAsia"/>
        </w:rPr>
        <w:t>2026</w:t>
      </w:r>
      <w:r>
        <w:rPr>
          <w:rFonts w:hint="eastAsia"/>
        </w:rPr>
        <w:t>年第</w:t>
      </w:r>
      <w:r>
        <w:rPr>
          <w:rFonts w:hint="eastAsia"/>
        </w:rPr>
        <w:t>2</w:t>
      </w:r>
      <w:r>
        <w:rPr>
          <w:rFonts w:hint="eastAsia"/>
        </w:rPr>
        <w:t>学期</w:t>
      </w:r>
      <w:r>
        <w:rPr>
          <w:rFonts w:hint="eastAsia"/>
        </w:rPr>
        <w:t>)</w:t>
      </w:r>
    </w:p>
    <w:p w14:paraId="05E26120" w14:textId="77777777" w:rsidR="00B615B6" w:rsidRDefault="00B615B6">
      <w:pPr>
        <w:jc w:val="center"/>
      </w:pPr>
    </w:p>
    <w:p w14:paraId="5F868AE9" w14:textId="77777777" w:rsidR="00B615B6" w:rsidRDefault="00D97594">
      <w:r>
        <w:rPr>
          <w:rFonts w:hint="eastAsia"/>
          <w:b/>
        </w:rPr>
        <w:t>课程：</w:t>
      </w:r>
      <w:r>
        <w:rPr>
          <w:rFonts w:hint="eastAsia"/>
          <w:b/>
        </w:rPr>
        <w:t xml:space="preserve">                    </w:t>
      </w:r>
      <w:r>
        <w:rPr>
          <w:rFonts w:hint="eastAsia"/>
          <w:b/>
        </w:rPr>
        <w:t>房地产估价理论与实务</w:t>
      </w:r>
    </w:p>
    <w:p w14:paraId="38F3EF6F" w14:textId="77777777" w:rsidR="00B615B6" w:rsidRDefault="00D97594">
      <w:r>
        <w:rPr>
          <w:rFonts w:hint="eastAsia"/>
          <w:b/>
          <w:bCs/>
        </w:rPr>
        <w:t>课程序号：</w:t>
      </w:r>
      <w:r>
        <w:rPr>
          <w:rFonts w:hint="eastAsia"/>
        </w:rPr>
        <w:tab/>
      </w:r>
      <w:r>
        <w:rPr>
          <w:rFonts w:hint="eastAsia"/>
        </w:rPr>
        <w:tab/>
      </w:r>
      <w:r>
        <w:rPr>
          <w:rFonts w:hint="eastAsia"/>
        </w:rPr>
        <w:tab/>
      </w:r>
      <w:r>
        <w:rPr>
          <w:rFonts w:hint="eastAsia"/>
        </w:rPr>
        <w:tab/>
        <w:t xml:space="preserve">  1414</w:t>
      </w:r>
    </w:p>
    <w:p w14:paraId="6C3C2004" w14:textId="77777777" w:rsidR="00B615B6" w:rsidRDefault="00D97594">
      <w:r>
        <w:rPr>
          <w:rFonts w:hint="eastAsia"/>
          <w:b/>
          <w:bCs/>
        </w:rPr>
        <w:t>课程代码：</w:t>
      </w:r>
      <w:r>
        <w:rPr>
          <w:rFonts w:hint="eastAsia"/>
        </w:rPr>
        <w:t xml:space="preserve">                214678</w:t>
      </w:r>
    </w:p>
    <w:p w14:paraId="1193B583" w14:textId="77777777" w:rsidR="00B615B6" w:rsidRDefault="00B615B6"/>
    <w:p w14:paraId="29567674" w14:textId="77777777" w:rsidR="00B615B6" w:rsidRDefault="00D97594">
      <w:r>
        <w:rPr>
          <w:rFonts w:hint="eastAsia"/>
          <w:b/>
        </w:rPr>
        <w:t>授课教师：</w:t>
      </w:r>
      <w:r>
        <w:rPr>
          <w:rFonts w:hint="eastAsia"/>
        </w:rPr>
        <w:t xml:space="preserve">                </w:t>
      </w:r>
      <w:r>
        <w:rPr>
          <w:rFonts w:hint="eastAsia"/>
        </w:rPr>
        <w:t>姚玲珍、张莉</w:t>
      </w:r>
    </w:p>
    <w:p w14:paraId="4B07452C" w14:textId="77777777" w:rsidR="00B615B6" w:rsidRDefault="00D97594">
      <w:r>
        <w:rPr>
          <w:rFonts w:hint="eastAsia"/>
        </w:rPr>
        <w:t xml:space="preserve">                          </w:t>
      </w:r>
      <w:r>
        <w:rPr>
          <w:rFonts w:hint="eastAsia"/>
        </w:rPr>
        <w:t>答疑时间：预约或周二下午</w:t>
      </w:r>
      <w:r>
        <w:rPr>
          <w:rFonts w:hint="eastAsia"/>
        </w:rPr>
        <w:t>3:30-4:30</w:t>
      </w:r>
    </w:p>
    <w:p w14:paraId="16AB4149" w14:textId="77777777" w:rsidR="00B615B6" w:rsidRDefault="00D97594">
      <w:r>
        <w:rPr>
          <w:rFonts w:hint="eastAsia"/>
        </w:rPr>
        <w:t xml:space="preserve">                          </w:t>
      </w:r>
      <w:r>
        <w:rPr>
          <w:rFonts w:hint="eastAsia"/>
        </w:rPr>
        <w:t>办公室：行政楼</w:t>
      </w:r>
      <w:r>
        <w:rPr>
          <w:rFonts w:hint="eastAsia"/>
        </w:rPr>
        <w:t>405</w:t>
      </w:r>
    </w:p>
    <w:p w14:paraId="2D2DC76B" w14:textId="77777777" w:rsidR="00B615B6" w:rsidRDefault="00D97594">
      <w:pPr>
        <w:rPr>
          <w:highlight w:val="yellow"/>
          <w:u w:val="single"/>
        </w:rPr>
      </w:pPr>
      <w:r>
        <w:rPr>
          <w:rFonts w:hint="eastAsia"/>
        </w:rPr>
        <w:t xml:space="preserve">                          E-mail: lzyao@mail.shufe.edu.cn</w:t>
      </w:r>
    </w:p>
    <w:p w14:paraId="1871EF93" w14:textId="77777777" w:rsidR="00B615B6" w:rsidRDefault="00B615B6">
      <w:pPr>
        <w:rPr>
          <w:b/>
        </w:rPr>
      </w:pPr>
    </w:p>
    <w:p w14:paraId="72A5F4F4" w14:textId="77777777" w:rsidR="00B615B6" w:rsidRDefault="00D97594">
      <w:r>
        <w:rPr>
          <w:rFonts w:hint="eastAsia"/>
          <w:b/>
        </w:rPr>
        <w:t>课程类别：</w:t>
      </w:r>
      <w:r>
        <w:rPr>
          <w:rFonts w:hint="eastAsia"/>
          <w:b/>
        </w:rPr>
        <w:t xml:space="preserve">                </w:t>
      </w:r>
      <w:r>
        <w:rPr>
          <w:rFonts w:hint="eastAsia"/>
          <w:b/>
        </w:rPr>
        <w:t>限定选修课模块</w:t>
      </w:r>
      <w:r>
        <w:rPr>
          <w:rFonts w:hint="eastAsia"/>
          <w:b/>
        </w:rPr>
        <w:t>I</w:t>
      </w:r>
    </w:p>
    <w:p w14:paraId="7048A193" w14:textId="77777777" w:rsidR="00B615B6" w:rsidRDefault="00B615B6">
      <w:pPr>
        <w:rPr>
          <w:b/>
        </w:rPr>
      </w:pPr>
    </w:p>
    <w:p w14:paraId="3E5C272D" w14:textId="655F7677" w:rsidR="00B615B6" w:rsidRDefault="00D97594">
      <w:r>
        <w:rPr>
          <w:rFonts w:hint="eastAsia"/>
          <w:b/>
        </w:rPr>
        <w:t>课程安排说明：</w:t>
      </w:r>
      <w:r>
        <w:rPr>
          <w:rFonts w:hint="eastAsia"/>
        </w:rPr>
        <w:t xml:space="preserve">            2026</w:t>
      </w:r>
      <w:r>
        <w:rPr>
          <w:rFonts w:hint="eastAsia"/>
        </w:rPr>
        <w:t>年</w:t>
      </w:r>
      <w:r>
        <w:rPr>
          <w:rFonts w:hint="eastAsia"/>
        </w:rPr>
        <w:t>3</w:t>
      </w:r>
      <w:r>
        <w:rPr>
          <w:rFonts w:hint="eastAsia"/>
        </w:rPr>
        <w:t>月</w:t>
      </w:r>
      <w:r w:rsidR="004576C4">
        <w:t>2</w:t>
      </w:r>
      <w:r>
        <w:rPr>
          <w:rFonts w:hint="eastAsia"/>
        </w:rPr>
        <w:t>日—</w:t>
      </w:r>
      <w:r>
        <w:rPr>
          <w:rFonts w:hint="eastAsia"/>
        </w:rPr>
        <w:t>2026</w:t>
      </w:r>
      <w:r>
        <w:rPr>
          <w:rFonts w:hint="eastAsia"/>
        </w:rPr>
        <w:t>年</w:t>
      </w:r>
      <w:r>
        <w:rPr>
          <w:rFonts w:hint="eastAsia"/>
        </w:rPr>
        <w:t>5</w:t>
      </w:r>
      <w:r>
        <w:rPr>
          <w:rFonts w:hint="eastAsia"/>
        </w:rPr>
        <w:t>月</w:t>
      </w:r>
      <w:r w:rsidR="004576C4">
        <w:t>15</w:t>
      </w:r>
      <w:r>
        <w:rPr>
          <w:rFonts w:hint="eastAsia"/>
        </w:rPr>
        <w:t>日</w:t>
      </w:r>
    </w:p>
    <w:p w14:paraId="0929C393" w14:textId="77777777" w:rsidR="00B615B6" w:rsidRDefault="00D97594">
      <w:r>
        <w:rPr>
          <w:rFonts w:hint="eastAsia"/>
        </w:rPr>
        <w:t xml:space="preserve">                          </w:t>
      </w:r>
      <w:r>
        <w:rPr>
          <w:rFonts w:hint="eastAsia"/>
        </w:rPr>
        <w:t>上课时间：周五上午</w:t>
      </w:r>
      <w:r>
        <w:rPr>
          <w:rFonts w:hint="eastAsia"/>
        </w:rPr>
        <w:t>8:55-11:4</w:t>
      </w:r>
      <w:r>
        <w:t>5</w:t>
      </w:r>
      <w:bookmarkStart w:id="0" w:name="_GoBack"/>
      <w:bookmarkEnd w:id="0"/>
    </w:p>
    <w:p w14:paraId="763F24EA" w14:textId="77777777" w:rsidR="00B615B6" w:rsidRDefault="00D97594">
      <w:pPr>
        <w:ind w:firstLineChars="1300" w:firstLine="2730"/>
      </w:pPr>
      <w:r>
        <w:rPr>
          <w:rFonts w:hint="eastAsia"/>
        </w:rPr>
        <w:t>授课地点：二教</w:t>
      </w:r>
      <w:r>
        <w:rPr>
          <w:rFonts w:hint="eastAsia"/>
        </w:rPr>
        <w:t>215</w:t>
      </w:r>
    </w:p>
    <w:p w14:paraId="58706885" w14:textId="77777777" w:rsidR="00B615B6" w:rsidRDefault="00D97594">
      <w:r>
        <w:rPr>
          <w:rFonts w:hint="eastAsia"/>
        </w:rPr>
        <w:t xml:space="preserve">                          </w:t>
      </w:r>
      <w:r>
        <w:rPr>
          <w:rFonts w:hint="eastAsia"/>
        </w:rPr>
        <w:t>课程调整：</w:t>
      </w:r>
      <w:r>
        <w:rPr>
          <w:rFonts w:hint="eastAsia"/>
        </w:rPr>
        <w:t>5</w:t>
      </w:r>
      <w:r>
        <w:rPr>
          <w:rFonts w:hint="eastAsia"/>
        </w:rPr>
        <w:t>月</w:t>
      </w:r>
      <w:r>
        <w:rPr>
          <w:rFonts w:hint="eastAsia"/>
        </w:rPr>
        <w:t>1</w:t>
      </w:r>
      <w:r>
        <w:rPr>
          <w:rFonts w:hint="eastAsia"/>
        </w:rPr>
        <w:t>日（劳动节休假）课程内容顺延。</w:t>
      </w:r>
    </w:p>
    <w:p w14:paraId="4D4C8A85" w14:textId="37004E14" w:rsidR="00B615B6" w:rsidRDefault="00D97594">
      <w:r>
        <w:rPr>
          <w:rFonts w:hint="eastAsia"/>
        </w:rPr>
        <w:t xml:space="preserve">                          </w:t>
      </w:r>
      <w:r>
        <w:rPr>
          <w:rFonts w:hint="eastAsia"/>
        </w:rPr>
        <w:t>期终考试时间：</w:t>
      </w:r>
      <w:r>
        <w:rPr>
          <w:rFonts w:hint="eastAsia"/>
        </w:rPr>
        <w:t>2026</w:t>
      </w:r>
      <w:r>
        <w:rPr>
          <w:rFonts w:hint="eastAsia"/>
        </w:rPr>
        <w:t>年</w:t>
      </w:r>
      <w:r>
        <w:rPr>
          <w:rFonts w:hint="eastAsia"/>
        </w:rPr>
        <w:t>6</w:t>
      </w:r>
      <w:r>
        <w:rPr>
          <w:rFonts w:hint="eastAsia"/>
        </w:rPr>
        <w:t>月</w:t>
      </w:r>
      <w:r w:rsidR="005509FA">
        <w:t>22</w:t>
      </w:r>
      <w:r>
        <w:rPr>
          <w:rFonts w:hint="eastAsia"/>
        </w:rPr>
        <w:t>日—</w:t>
      </w:r>
      <w:r w:rsidR="005509FA">
        <w:t>7</w:t>
      </w:r>
      <w:r>
        <w:rPr>
          <w:rFonts w:hint="eastAsia"/>
        </w:rPr>
        <w:t>月</w:t>
      </w:r>
      <w:r>
        <w:rPr>
          <w:rFonts w:hint="eastAsia"/>
        </w:rPr>
        <w:t>3</w:t>
      </w:r>
      <w:r>
        <w:rPr>
          <w:rFonts w:hint="eastAsia"/>
        </w:rPr>
        <w:t>日之间。</w:t>
      </w:r>
    </w:p>
    <w:p w14:paraId="4817B11E" w14:textId="77777777" w:rsidR="00B615B6" w:rsidRDefault="00D97594">
      <w:pPr>
        <w:rPr>
          <w:b/>
        </w:rPr>
      </w:pPr>
      <w:r>
        <w:rPr>
          <w:rFonts w:hint="eastAsia"/>
          <w:b/>
        </w:rPr>
        <w:t>教学学时分配表：</w:t>
      </w:r>
    </w:p>
    <w:p w14:paraId="2A10C10B" w14:textId="77777777" w:rsidR="00B615B6" w:rsidRDefault="00B61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521"/>
        <w:gridCol w:w="1559"/>
        <w:gridCol w:w="1559"/>
      </w:tblGrid>
      <w:tr w:rsidR="00B615B6" w14:paraId="2A583335" w14:textId="77777777">
        <w:tc>
          <w:tcPr>
            <w:tcW w:w="1420" w:type="dxa"/>
          </w:tcPr>
          <w:p w14:paraId="13F48A6A" w14:textId="77777777" w:rsidR="00B615B6" w:rsidRDefault="00D97594">
            <w:pPr>
              <w:jc w:val="center"/>
            </w:pPr>
            <w:r>
              <w:rPr>
                <w:rFonts w:hint="eastAsia"/>
              </w:rPr>
              <w:t>学分</w:t>
            </w:r>
          </w:p>
        </w:tc>
        <w:tc>
          <w:tcPr>
            <w:tcW w:w="1420" w:type="dxa"/>
          </w:tcPr>
          <w:p w14:paraId="713DF4E0" w14:textId="77777777" w:rsidR="00B615B6" w:rsidRDefault="00D97594">
            <w:pPr>
              <w:jc w:val="center"/>
            </w:pPr>
            <w:r>
              <w:rPr>
                <w:rFonts w:hint="eastAsia"/>
              </w:rPr>
              <w:t>总学时</w:t>
            </w:r>
          </w:p>
        </w:tc>
        <w:tc>
          <w:tcPr>
            <w:tcW w:w="1521" w:type="dxa"/>
          </w:tcPr>
          <w:p w14:paraId="3CA7CCE3" w14:textId="77777777" w:rsidR="00B615B6" w:rsidRDefault="00D97594">
            <w:pPr>
              <w:jc w:val="center"/>
            </w:pPr>
            <w:r>
              <w:rPr>
                <w:rFonts w:hint="eastAsia"/>
              </w:rPr>
              <w:t>理论教学学时</w:t>
            </w:r>
          </w:p>
        </w:tc>
        <w:tc>
          <w:tcPr>
            <w:tcW w:w="1559" w:type="dxa"/>
          </w:tcPr>
          <w:p w14:paraId="7B3902C1" w14:textId="77777777" w:rsidR="00B615B6" w:rsidRDefault="00D97594">
            <w:pPr>
              <w:jc w:val="center"/>
            </w:pPr>
            <w:r>
              <w:rPr>
                <w:rFonts w:hint="eastAsia"/>
              </w:rPr>
              <w:t>实践教学学时</w:t>
            </w:r>
          </w:p>
        </w:tc>
        <w:tc>
          <w:tcPr>
            <w:tcW w:w="1559" w:type="dxa"/>
          </w:tcPr>
          <w:p w14:paraId="7DDFAE37" w14:textId="77777777" w:rsidR="00B615B6" w:rsidRDefault="00D97594">
            <w:pPr>
              <w:jc w:val="center"/>
            </w:pPr>
            <w:r>
              <w:rPr>
                <w:rFonts w:hint="eastAsia"/>
              </w:rPr>
              <w:t>实验教学学时</w:t>
            </w:r>
          </w:p>
        </w:tc>
      </w:tr>
      <w:tr w:rsidR="00B615B6" w14:paraId="7F4E6E39" w14:textId="77777777">
        <w:tc>
          <w:tcPr>
            <w:tcW w:w="1420" w:type="dxa"/>
          </w:tcPr>
          <w:p w14:paraId="486AFB02" w14:textId="77777777" w:rsidR="00B615B6" w:rsidRDefault="00D97594">
            <w:pPr>
              <w:jc w:val="center"/>
              <w:rPr>
                <w:i/>
              </w:rPr>
            </w:pPr>
            <w:r>
              <w:rPr>
                <w:rFonts w:hint="eastAsia"/>
                <w:i/>
              </w:rPr>
              <w:t>2</w:t>
            </w:r>
          </w:p>
        </w:tc>
        <w:tc>
          <w:tcPr>
            <w:tcW w:w="1420" w:type="dxa"/>
          </w:tcPr>
          <w:p w14:paraId="5877E89B" w14:textId="4345CA53" w:rsidR="00B615B6" w:rsidRDefault="00D97594">
            <w:pPr>
              <w:jc w:val="center"/>
            </w:pPr>
            <w:r>
              <w:rPr>
                <w:rFonts w:hint="eastAsia"/>
              </w:rPr>
              <w:t>3</w:t>
            </w:r>
            <w:r w:rsidR="005509FA">
              <w:t>3</w:t>
            </w:r>
          </w:p>
        </w:tc>
        <w:tc>
          <w:tcPr>
            <w:tcW w:w="1521" w:type="dxa"/>
          </w:tcPr>
          <w:p w14:paraId="35694476" w14:textId="1FBAA547" w:rsidR="00B615B6" w:rsidRDefault="005509FA">
            <w:pPr>
              <w:jc w:val="center"/>
              <w:rPr>
                <w:i/>
              </w:rPr>
            </w:pPr>
            <w:r>
              <w:rPr>
                <w:i/>
              </w:rPr>
              <w:t>27</w:t>
            </w:r>
          </w:p>
        </w:tc>
        <w:tc>
          <w:tcPr>
            <w:tcW w:w="1559" w:type="dxa"/>
          </w:tcPr>
          <w:p w14:paraId="632D8FE9" w14:textId="401DB85B" w:rsidR="00B615B6" w:rsidRDefault="005509FA">
            <w:pPr>
              <w:jc w:val="center"/>
              <w:rPr>
                <w:i/>
              </w:rPr>
            </w:pPr>
            <w:r>
              <w:rPr>
                <w:i/>
              </w:rPr>
              <w:t>3</w:t>
            </w:r>
          </w:p>
        </w:tc>
        <w:tc>
          <w:tcPr>
            <w:tcW w:w="1559" w:type="dxa"/>
          </w:tcPr>
          <w:p w14:paraId="4425223D" w14:textId="77777777" w:rsidR="00B615B6" w:rsidRDefault="00D97594">
            <w:pPr>
              <w:jc w:val="center"/>
              <w:rPr>
                <w:i/>
              </w:rPr>
            </w:pPr>
            <w:r>
              <w:rPr>
                <w:rFonts w:hint="eastAsia"/>
                <w:i/>
              </w:rPr>
              <w:t>0</w:t>
            </w:r>
          </w:p>
        </w:tc>
      </w:tr>
    </w:tbl>
    <w:p w14:paraId="3EA33C7C" w14:textId="59C06AF2" w:rsidR="00B615B6" w:rsidRDefault="00D97594">
      <w:r>
        <w:rPr>
          <w:rFonts w:hint="eastAsia"/>
        </w:rPr>
        <w:t>（注：</w:t>
      </w:r>
      <m:oMath>
        <m:r>
          <m:rPr>
            <m:sty m:val="p"/>
          </m:rPr>
          <w:rPr>
            <w:rFonts w:ascii="Cambria Math" w:hAnsi="Cambria Math"/>
          </w:rPr>
          <m:t>33</m:t>
        </m:r>
        <m:r>
          <w:rPr>
            <w:rFonts w:ascii="Cambria Math" w:hAnsi="Cambria Math"/>
          </w:rPr>
          <m:t>=27+3+3</m:t>
        </m:r>
      </m:oMath>
      <w:r>
        <w:rPr>
          <w:rFonts w:hint="eastAsia"/>
        </w:rPr>
        <w:t>）</w:t>
      </w:r>
    </w:p>
    <w:p w14:paraId="45D176B8" w14:textId="77777777" w:rsidR="00B615B6" w:rsidRDefault="00B615B6">
      <w:pPr>
        <w:rPr>
          <w:b/>
        </w:rPr>
      </w:pPr>
    </w:p>
    <w:p w14:paraId="5AA797A7" w14:textId="63A12D3E" w:rsidR="00B615B6" w:rsidRDefault="00D97594">
      <w:pPr>
        <w:rPr>
          <w:u w:val="single"/>
        </w:rPr>
      </w:pPr>
      <w:r w:rsidRPr="00F2602E">
        <w:rPr>
          <w:rFonts w:hint="eastAsia"/>
          <w:b/>
        </w:rPr>
        <w:t>课件网址：</w:t>
      </w:r>
      <w:r w:rsidRPr="00F2602E">
        <w:rPr>
          <w:rFonts w:hint="eastAsia"/>
        </w:rPr>
        <w:t xml:space="preserve">               </w:t>
      </w:r>
      <w:hyperlink r:id="rId6" w:history="1">
        <w:r w:rsidR="00F2602E" w:rsidRPr="00AA0E0D">
          <w:rPr>
            <w:rStyle w:val="ab"/>
          </w:rPr>
          <w:t>https://canvas.shufe.edu.cn/courses/40612/modules</w:t>
        </w:r>
      </w:hyperlink>
    </w:p>
    <w:p w14:paraId="5C51318B" w14:textId="77777777" w:rsidR="00B615B6" w:rsidRDefault="00B615B6">
      <w:pPr>
        <w:rPr>
          <w:highlight w:val="yellow"/>
        </w:rPr>
      </w:pPr>
    </w:p>
    <w:p w14:paraId="5652D3CB" w14:textId="77777777" w:rsidR="00B615B6" w:rsidRDefault="00D97594">
      <w:pPr>
        <w:rPr>
          <w:b/>
        </w:rPr>
      </w:pPr>
      <w:r>
        <w:rPr>
          <w:rFonts w:hint="eastAsia"/>
          <w:b/>
        </w:rPr>
        <w:t>教材和参考书目：</w:t>
      </w:r>
    </w:p>
    <w:p w14:paraId="304049F4" w14:textId="77777777" w:rsidR="00B615B6" w:rsidRDefault="00D97594">
      <w:pPr>
        <w:ind w:firstLine="435"/>
        <w:rPr>
          <w:szCs w:val="21"/>
        </w:rPr>
      </w:pPr>
      <w:r>
        <w:rPr>
          <w:rFonts w:hint="eastAsia"/>
        </w:rPr>
        <w:t>指定教材：姚玲珍等：《不动产价值评估》，上海财经大学出版社，</w:t>
      </w:r>
      <w:r>
        <w:rPr>
          <w:rFonts w:hint="eastAsia"/>
        </w:rPr>
        <w:t>2025</w:t>
      </w:r>
      <w:r>
        <w:rPr>
          <w:rFonts w:hint="eastAsia"/>
        </w:rPr>
        <w:t>年。</w:t>
      </w:r>
    </w:p>
    <w:p w14:paraId="05D29F0F" w14:textId="77777777" w:rsidR="00B615B6" w:rsidRDefault="00D97594">
      <w:pPr>
        <w:ind w:firstLine="435"/>
      </w:pPr>
      <w:r>
        <w:rPr>
          <w:rFonts w:hint="eastAsia"/>
        </w:rPr>
        <w:t>参考书目：</w:t>
      </w:r>
      <w:r>
        <w:rPr>
          <w:rFonts w:hint="eastAsia"/>
        </w:rPr>
        <w:t>1.</w:t>
      </w:r>
      <w:r>
        <w:rPr>
          <w:rFonts w:hint="eastAsia"/>
        </w:rPr>
        <w:t>姚玲珍等：《房地产经济学》，中国建筑工业出版社，</w:t>
      </w:r>
      <w:r>
        <w:rPr>
          <w:rFonts w:hint="eastAsia"/>
        </w:rPr>
        <w:t>2022</w:t>
      </w:r>
      <w:r>
        <w:rPr>
          <w:rFonts w:hint="eastAsia"/>
        </w:rPr>
        <w:t>年；</w:t>
      </w:r>
    </w:p>
    <w:p w14:paraId="1BF9CF7E" w14:textId="77777777" w:rsidR="00B615B6" w:rsidRDefault="00D97594">
      <w:pPr>
        <w:ind w:left="840" w:firstLineChars="300" w:firstLine="630"/>
      </w:pPr>
      <w:r>
        <w:rPr>
          <w:rFonts w:hint="eastAsia"/>
        </w:rPr>
        <w:t>2.</w:t>
      </w:r>
      <w:r>
        <w:rPr>
          <w:rFonts w:hint="eastAsia"/>
        </w:rPr>
        <w:t>董籓等：《房地产经济学》（第</w:t>
      </w:r>
      <w:r>
        <w:rPr>
          <w:rFonts w:hint="eastAsia"/>
        </w:rPr>
        <w:t>2</w:t>
      </w:r>
      <w:r>
        <w:rPr>
          <w:rFonts w:hint="eastAsia"/>
        </w:rPr>
        <w:t>版），清华大学出版社，</w:t>
      </w:r>
      <w:r>
        <w:rPr>
          <w:rFonts w:hint="eastAsia"/>
        </w:rPr>
        <w:t>2017</w:t>
      </w:r>
      <w:r>
        <w:rPr>
          <w:rFonts w:hint="eastAsia"/>
        </w:rPr>
        <w:t>年。</w:t>
      </w:r>
    </w:p>
    <w:p w14:paraId="362DC862" w14:textId="77777777" w:rsidR="00B615B6" w:rsidRDefault="00B615B6">
      <w:pPr>
        <w:rPr>
          <w:b/>
        </w:rPr>
      </w:pPr>
    </w:p>
    <w:p w14:paraId="1F98D448" w14:textId="77777777" w:rsidR="00B615B6" w:rsidRDefault="00D97594">
      <w:pPr>
        <w:rPr>
          <w:b/>
        </w:rPr>
      </w:pPr>
      <w:r>
        <w:rPr>
          <w:rFonts w:hint="eastAsia"/>
          <w:b/>
        </w:rPr>
        <w:t>预备知识</w:t>
      </w:r>
    </w:p>
    <w:p w14:paraId="29C24DA5" w14:textId="77777777" w:rsidR="00B615B6" w:rsidRDefault="00D97594">
      <w:pPr>
        <w:ind w:firstLine="410"/>
      </w:pPr>
      <w:r>
        <w:rPr>
          <w:rFonts w:hint="eastAsia"/>
        </w:rPr>
        <w:t>由于本课程是关于房地产价值评估的理论、方法与实践，学生最好事先修读过《宏观经济学》、《微观经济学》等经济学基础课程，同时具有资产估价相关知识的学习基础。</w:t>
      </w:r>
    </w:p>
    <w:p w14:paraId="3AC8D9E7" w14:textId="77777777" w:rsidR="00B615B6" w:rsidRDefault="00B615B6">
      <w:pPr>
        <w:rPr>
          <w:b/>
        </w:rPr>
      </w:pPr>
    </w:p>
    <w:p w14:paraId="4BB68986" w14:textId="77777777" w:rsidR="00B615B6" w:rsidRDefault="00D97594">
      <w:pPr>
        <w:rPr>
          <w:b/>
        </w:rPr>
      </w:pPr>
      <w:r>
        <w:rPr>
          <w:rFonts w:hint="eastAsia"/>
          <w:b/>
        </w:rPr>
        <w:t>先修</w:t>
      </w:r>
      <w:r>
        <w:rPr>
          <w:b/>
        </w:rPr>
        <w:t>课程：</w:t>
      </w:r>
      <w:r>
        <w:rPr>
          <w:rFonts w:hint="eastAsia"/>
          <w:bCs/>
        </w:rPr>
        <w:t>《宏观经济学》、《微观经济学》</w:t>
      </w:r>
    </w:p>
    <w:p w14:paraId="6CFD9DCA" w14:textId="77777777" w:rsidR="00B615B6" w:rsidRDefault="00B615B6"/>
    <w:p w14:paraId="5630A2C4" w14:textId="77777777" w:rsidR="00B615B6" w:rsidRDefault="00D97594">
      <w:pPr>
        <w:rPr>
          <w:color w:val="FF0000"/>
        </w:rPr>
      </w:pPr>
      <w:r>
        <w:rPr>
          <w:b/>
        </w:rPr>
        <w:t>课程达成目标：</w:t>
      </w:r>
    </w:p>
    <w:p w14:paraId="5DEFE4FE" w14:textId="77777777" w:rsidR="00B615B6" w:rsidRDefault="00D97594">
      <w:pPr>
        <w:ind w:firstLine="410"/>
      </w:pPr>
      <w:r>
        <w:rPr>
          <w:rFonts w:hint="eastAsia"/>
        </w:rPr>
        <w:t>本课程是面向硕士研究生开设的选修课。以房地产估价为主要内容，着重介绍房地产估价的基本理论、教学房地产估价的基本方法、阐释房地产估价的道德要求和行为准则。课程共分为十四章，主要阐述房地产估价的基本概念、房地产估价的理论基础和基本原则、房地产估价方法（包括市场法、成本法、收益法、假设开发法、长期趋势法）等内容，帮助学生</w:t>
      </w:r>
      <w:r>
        <w:rPr>
          <w:rFonts w:hint="eastAsia"/>
        </w:rPr>
        <w:lastRenderedPageBreak/>
        <w:t>全面了解中国特色的房地产估价模式，理解房地产估价基本理论与方法。同时，在讲解相关专题时，一是结合马克思主义劳动价值论等经典理论，以期达到帮助学生领会马克思主义思想在房地产评估中应用的目的；二是</w:t>
      </w:r>
      <w:proofErr w:type="gramStart"/>
      <w:r>
        <w:rPr>
          <w:rFonts w:hint="eastAsia"/>
        </w:rPr>
        <w:t>结合思政案例</w:t>
      </w:r>
      <w:proofErr w:type="gramEnd"/>
      <w:r>
        <w:rPr>
          <w:rFonts w:hint="eastAsia"/>
        </w:rPr>
        <w:t>探讨行业规范，以期提升学生的估价职业道德。</w:t>
      </w:r>
    </w:p>
    <w:p w14:paraId="0A1D07A5" w14:textId="77777777" w:rsidR="00B615B6" w:rsidRDefault="00B615B6">
      <w:pPr>
        <w:tabs>
          <w:tab w:val="left" w:pos="3610"/>
        </w:tabs>
        <w:ind w:firstLineChars="200" w:firstLine="420"/>
        <w:rPr>
          <w:szCs w:val="21"/>
        </w:rPr>
      </w:pPr>
    </w:p>
    <w:p w14:paraId="2B9DCCFF" w14:textId="77777777" w:rsidR="00B615B6" w:rsidRDefault="00B615B6">
      <w:pPr>
        <w:tabs>
          <w:tab w:val="left" w:pos="3610"/>
        </w:tabs>
        <w:ind w:firstLineChars="200" w:firstLine="420"/>
        <w:rPr>
          <w:szCs w:val="21"/>
        </w:rPr>
      </w:pPr>
    </w:p>
    <w:p w14:paraId="4EAD554E" w14:textId="77777777" w:rsidR="00B615B6" w:rsidRDefault="00D97594">
      <w:pPr>
        <w:rPr>
          <w:b/>
          <w:color w:val="FF0000"/>
        </w:rPr>
      </w:pPr>
      <w:r>
        <w:rPr>
          <w:b/>
        </w:rPr>
        <w:t>课程设置知识要求：</w:t>
      </w:r>
    </w:p>
    <w:p w14:paraId="2A6D31F3" w14:textId="77777777" w:rsidR="00B615B6" w:rsidRDefault="00D97594">
      <w:pPr>
        <w:ind w:firstLine="410"/>
      </w:pPr>
      <w:r>
        <w:rPr>
          <w:rFonts w:hint="eastAsia"/>
        </w:rPr>
        <w:t>在学习本课程之前，学生应具有对资产估价知识的初步了解；具备一定的数学与逻辑思维能力，能够理解基本的数据分析、图表解读和简单的经济模型；具备基本的经济学常识，了解市场机制、供需关系、价格形成等基础概念。通过本课程的学习，学生将系统掌握房地产估价的基本理论与方法，提升运用估价方法与模型分析现实问题的能力。课程还将引导学生关注估价方法的前沿发展，培养其综合思维与社会责任感，为后续实务工作中持续学习打下坚实基础。</w:t>
      </w:r>
    </w:p>
    <w:p w14:paraId="2B700640" w14:textId="77777777" w:rsidR="00B615B6" w:rsidRDefault="00B615B6">
      <w:pPr>
        <w:rPr>
          <w:b/>
        </w:rPr>
      </w:pPr>
    </w:p>
    <w:p w14:paraId="6904759A" w14:textId="77777777" w:rsidR="00B615B6" w:rsidRDefault="00D97594">
      <w:pPr>
        <w:rPr>
          <w:i/>
          <w:color w:val="FF0000"/>
          <w:sz w:val="22"/>
        </w:rPr>
      </w:pPr>
      <w:r>
        <w:rPr>
          <w:b/>
        </w:rPr>
        <w:t>课程设置能力要求</w:t>
      </w:r>
      <w:r>
        <w:t>：</w:t>
      </w:r>
    </w:p>
    <w:p w14:paraId="7745544F" w14:textId="77777777" w:rsidR="00B615B6" w:rsidRDefault="00D97594">
      <w:pPr>
        <w:ind w:firstLine="410"/>
      </w:pPr>
      <w:r>
        <w:rPr>
          <w:rFonts w:hint="eastAsia"/>
        </w:rPr>
        <w:t>课程注重基本理论和社会热点的结合。采用启发式、探讨式、案例式等教学模式，通过课内与课外、线上与线下的师生互动、团队合作等学习方式，以期达到帮助学生了解学科前沿、启发兴趣、掌握知识方法以及激励创新思维的目的。通过启发式和探讨式教学，学生能够提升自学能力和创新思维能力，培养思辨思维；通过课堂讨论，学生能够提升信息获取与表达能力和团队协作能力，启发创新思维；通过案例讨论，学生能够提高问题意识和团队协作组织能力，提升实践思维。</w:t>
      </w:r>
    </w:p>
    <w:p w14:paraId="21F8889B" w14:textId="77777777" w:rsidR="00B615B6" w:rsidRDefault="00B615B6">
      <w:pPr>
        <w:rPr>
          <w:b/>
        </w:rPr>
      </w:pPr>
    </w:p>
    <w:p w14:paraId="7CE918FA" w14:textId="77777777" w:rsidR="00B615B6" w:rsidRDefault="00D97594">
      <w:pPr>
        <w:tabs>
          <w:tab w:val="left" w:pos="3610"/>
        </w:tabs>
        <w:rPr>
          <w:b/>
        </w:rPr>
      </w:pPr>
      <w:r>
        <w:rPr>
          <w:rFonts w:hint="eastAsia"/>
          <w:b/>
        </w:rPr>
        <w:t>考核形式：</w:t>
      </w:r>
    </w:p>
    <w:p w14:paraId="4FC89C94" w14:textId="77777777" w:rsidR="00B615B6" w:rsidRDefault="00D97594">
      <w:pPr>
        <w:tabs>
          <w:tab w:val="left" w:pos="459"/>
        </w:tabs>
      </w:pPr>
      <w:r>
        <w:tab/>
      </w:r>
      <w:r>
        <w:rPr>
          <w:rFonts w:hint="eastAsia"/>
        </w:rPr>
        <w:t>期末</w:t>
      </w:r>
      <w:r>
        <w:t>考试</w:t>
      </w:r>
      <w:proofErr w:type="gramStart"/>
      <w:r>
        <w:t>采用</w:t>
      </w:r>
      <w:r>
        <w:rPr>
          <w:rFonts w:hint="eastAsia"/>
        </w:rPr>
        <w:t>结课论文</w:t>
      </w:r>
      <w:proofErr w:type="gramEnd"/>
      <w:r>
        <w:t>方式</w:t>
      </w:r>
      <w:r>
        <w:rPr>
          <w:rFonts w:hint="eastAsia"/>
        </w:rPr>
        <w:t>，学生的最后的总分计算方法如下：</w:t>
      </w:r>
    </w:p>
    <w:p w14:paraId="368372B0" w14:textId="77777777" w:rsidR="00B615B6" w:rsidRDefault="00D97594">
      <w:pPr>
        <w:tabs>
          <w:tab w:val="left" w:pos="3610"/>
        </w:tabs>
        <w:ind w:firstLine="435"/>
      </w:pPr>
      <w:r>
        <w:rPr>
          <w:rFonts w:hint="eastAsia"/>
        </w:rPr>
        <w:t>考</w:t>
      </w:r>
      <w:r>
        <w:rPr>
          <w:rFonts w:hint="eastAsia"/>
        </w:rPr>
        <w:t xml:space="preserve">    </w:t>
      </w:r>
      <w:r>
        <w:rPr>
          <w:rFonts w:hint="eastAsia"/>
        </w:rPr>
        <w:t>勤</w:t>
      </w:r>
      <w:r>
        <w:rPr>
          <w:rFonts w:hint="eastAsia"/>
        </w:rPr>
        <w:t xml:space="preserve">                           </w:t>
      </w:r>
      <w:r>
        <w:t>10</w:t>
      </w:r>
      <w:r>
        <w:rPr>
          <w:rFonts w:hint="eastAsia"/>
        </w:rPr>
        <w:t>%</w:t>
      </w:r>
    </w:p>
    <w:p w14:paraId="20DDEC79" w14:textId="77777777" w:rsidR="00B615B6" w:rsidRDefault="00D97594">
      <w:pPr>
        <w:tabs>
          <w:tab w:val="left" w:pos="3610"/>
        </w:tabs>
        <w:ind w:firstLine="435"/>
      </w:pPr>
      <w:r>
        <w:rPr>
          <w:rFonts w:hint="eastAsia"/>
        </w:rPr>
        <w:t>课堂参与</w:t>
      </w:r>
      <w:r>
        <w:rPr>
          <w:rFonts w:hint="eastAsia"/>
        </w:rPr>
        <w:t xml:space="preserve">                           </w:t>
      </w:r>
      <w:r>
        <w:t>10</w:t>
      </w:r>
      <w:r>
        <w:rPr>
          <w:rFonts w:hint="eastAsia"/>
        </w:rPr>
        <w:t>%</w:t>
      </w:r>
    </w:p>
    <w:p w14:paraId="14E485A6" w14:textId="77777777" w:rsidR="00B615B6" w:rsidRDefault="00D97594">
      <w:pPr>
        <w:tabs>
          <w:tab w:val="left" w:pos="3610"/>
        </w:tabs>
        <w:ind w:firstLine="435"/>
      </w:pPr>
      <w:r>
        <w:rPr>
          <w:rFonts w:hint="eastAsia"/>
        </w:rPr>
        <w:t>小组作业</w:t>
      </w:r>
      <w:r>
        <w:rPr>
          <w:rFonts w:hint="eastAsia"/>
        </w:rPr>
        <w:t xml:space="preserve">  </w:t>
      </w:r>
      <w:r>
        <w:t xml:space="preserve">         </w:t>
      </w:r>
      <w:r>
        <w:rPr>
          <w:rFonts w:hint="eastAsia"/>
        </w:rPr>
        <w:t xml:space="preserve">                </w:t>
      </w:r>
      <w:r>
        <w:t>30</w:t>
      </w:r>
      <w:r>
        <w:rPr>
          <w:rFonts w:hint="eastAsia"/>
        </w:rPr>
        <w:t>%</w:t>
      </w:r>
    </w:p>
    <w:p w14:paraId="5362E811" w14:textId="77777777" w:rsidR="00B615B6" w:rsidRDefault="00D97594">
      <w:pPr>
        <w:tabs>
          <w:tab w:val="left" w:pos="3610"/>
        </w:tabs>
        <w:ind w:firstLineChars="200" w:firstLine="420"/>
      </w:pPr>
      <w:proofErr w:type="gramStart"/>
      <w:r>
        <w:rPr>
          <w:rFonts w:hint="eastAsia"/>
        </w:rPr>
        <w:t>结课论文</w:t>
      </w:r>
      <w:proofErr w:type="gramEnd"/>
      <w:r>
        <w:rPr>
          <w:rFonts w:hint="eastAsia"/>
        </w:rPr>
        <w:t xml:space="preserve">  </w:t>
      </w:r>
      <w:r>
        <w:t xml:space="preserve">         </w:t>
      </w:r>
      <w:r>
        <w:rPr>
          <w:rFonts w:hint="eastAsia"/>
        </w:rPr>
        <w:t xml:space="preserve">                </w:t>
      </w:r>
      <w:r>
        <w:t>50</w:t>
      </w:r>
      <w:r>
        <w:rPr>
          <w:rFonts w:hint="eastAsia"/>
        </w:rPr>
        <w:t>%</w:t>
      </w:r>
    </w:p>
    <w:p w14:paraId="55B8F4D7" w14:textId="77777777" w:rsidR="00B615B6" w:rsidRDefault="00B615B6">
      <w:pPr>
        <w:tabs>
          <w:tab w:val="left" w:pos="3610"/>
        </w:tabs>
        <w:rPr>
          <w:b/>
          <w:highlight w:val="yellow"/>
        </w:rPr>
      </w:pPr>
    </w:p>
    <w:p w14:paraId="4AC28FE1" w14:textId="77777777" w:rsidR="00B615B6" w:rsidRDefault="00D97594">
      <w:pPr>
        <w:tabs>
          <w:tab w:val="left" w:pos="3610"/>
        </w:tabs>
        <w:rPr>
          <w:b/>
        </w:rPr>
      </w:pPr>
      <w:r>
        <w:rPr>
          <w:rFonts w:hint="eastAsia"/>
          <w:b/>
        </w:rPr>
        <w:t>学术诚实</w:t>
      </w:r>
    </w:p>
    <w:p w14:paraId="57E397B9" w14:textId="77777777" w:rsidR="00B615B6" w:rsidRDefault="00D97594">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720F86E4" w14:textId="77777777" w:rsidR="00B615B6" w:rsidRDefault="00D97594">
      <w:pPr>
        <w:widowControl/>
        <w:jc w:val="left"/>
      </w:pPr>
      <w:r>
        <w:br w:type="page"/>
      </w:r>
    </w:p>
    <w:p w14:paraId="1D13A79E" w14:textId="77777777" w:rsidR="00B615B6" w:rsidRDefault="00D97594">
      <w:pPr>
        <w:tabs>
          <w:tab w:val="left" w:pos="3610"/>
        </w:tabs>
        <w:jc w:val="center"/>
        <w:rPr>
          <w:b/>
          <w:sz w:val="36"/>
          <w:szCs w:val="36"/>
        </w:rPr>
      </w:pPr>
      <w:r>
        <w:rPr>
          <w:rFonts w:hint="eastAsia"/>
          <w:b/>
          <w:sz w:val="36"/>
          <w:szCs w:val="36"/>
        </w:rPr>
        <w:lastRenderedPageBreak/>
        <w:t>房地产估价理论与实务课程教学要点</w:t>
      </w:r>
    </w:p>
    <w:p w14:paraId="7C4A0902" w14:textId="77777777" w:rsidR="00B615B6" w:rsidRDefault="00D97594">
      <w:pPr>
        <w:jc w:val="center"/>
        <w:rPr>
          <w:b/>
          <w:sz w:val="32"/>
          <w:szCs w:val="32"/>
        </w:rPr>
      </w:pPr>
      <w:r>
        <w:rPr>
          <w:rFonts w:hint="eastAsia"/>
          <w:b/>
          <w:sz w:val="32"/>
          <w:szCs w:val="32"/>
        </w:rPr>
        <w:t>教学大纲</w:t>
      </w:r>
    </w:p>
    <w:p w14:paraId="3AD87550" w14:textId="77777777" w:rsidR="00B615B6" w:rsidRDefault="00B615B6"/>
    <w:p w14:paraId="02FA84F0" w14:textId="77777777" w:rsidR="00B615B6" w:rsidRDefault="00D97594">
      <w:pPr>
        <w:tabs>
          <w:tab w:val="left" w:pos="3610"/>
        </w:tabs>
        <w:jc w:val="center"/>
        <w:rPr>
          <w:rFonts w:ascii="宋体" w:hAnsi="宋体"/>
          <w:b/>
        </w:rPr>
      </w:pPr>
      <w:r>
        <w:rPr>
          <w:rFonts w:ascii="宋体" w:hAnsi="宋体" w:hint="eastAsia"/>
          <w:b/>
        </w:rPr>
        <w:t>第一章 绪论</w:t>
      </w:r>
    </w:p>
    <w:p w14:paraId="39E6C44A" w14:textId="77777777" w:rsidR="00B615B6" w:rsidRDefault="00D97594">
      <w:pPr>
        <w:tabs>
          <w:tab w:val="left" w:pos="3610"/>
        </w:tabs>
        <w:ind w:firstLineChars="200" w:firstLine="420"/>
        <w:rPr>
          <w:rFonts w:ascii="宋体" w:hAnsi="宋体"/>
          <w:bCs/>
        </w:rPr>
      </w:pPr>
      <w:r>
        <w:rPr>
          <w:rFonts w:ascii="宋体" w:hAnsi="宋体" w:hint="eastAsia"/>
          <w:bCs/>
        </w:rPr>
        <w:t>本章对学习不动产评估所需的基本概念进行了阐述。第一，对不动产的概念做出了阐释，即不动产是土地、建筑物及其他附着于土地上的定着物，包括物质实体及其相关权益。第二，阐明不动产价格的特征、价格与价值的区别，由此引出不动产价值评估的本质。第三，对不动产价值评估的主体、对象</w:t>
      </w:r>
      <w:proofErr w:type="gramStart"/>
      <w:r>
        <w:rPr>
          <w:rFonts w:ascii="宋体" w:hAnsi="宋体" w:hint="eastAsia"/>
          <w:bCs/>
        </w:rPr>
        <w:t>作出</w:t>
      </w:r>
      <w:proofErr w:type="gramEnd"/>
      <w:r>
        <w:rPr>
          <w:rFonts w:ascii="宋体" w:hAnsi="宋体" w:hint="eastAsia"/>
          <w:bCs/>
        </w:rPr>
        <w:t>了规定，熟悉这些概念将有利于在实务操作中对不动产评估价值概念的界定。第四，阐明不动产评估常见的评估假设、价值类型及其应用范围。第五，说明了资产评估的一般原则和由于不动产特性所需遵循的专业性原则。通过对本章节的学习，能够对不动产评估的基础知识做出全面准确的了解，以便于后续方法论的学习。</w:t>
      </w:r>
    </w:p>
    <w:p w14:paraId="5BC418C8" w14:textId="77777777" w:rsidR="00B615B6" w:rsidRDefault="00D97594">
      <w:pPr>
        <w:tabs>
          <w:tab w:val="left" w:pos="3610"/>
        </w:tabs>
        <w:rPr>
          <w:rFonts w:ascii="宋体" w:hAnsi="宋体"/>
          <w:b/>
        </w:rPr>
      </w:pPr>
      <w:r>
        <w:rPr>
          <w:rFonts w:ascii="宋体" w:hAnsi="宋体" w:hint="eastAsia"/>
          <w:b/>
        </w:rPr>
        <w:t>1.1不动产评估的基本概念</w:t>
      </w:r>
    </w:p>
    <w:p w14:paraId="3878F7C0" w14:textId="77777777" w:rsidR="00B615B6" w:rsidRDefault="00D97594">
      <w:pPr>
        <w:tabs>
          <w:tab w:val="left" w:pos="3610"/>
        </w:tabs>
        <w:rPr>
          <w:rFonts w:ascii="宋体" w:hAnsi="宋体"/>
          <w:b/>
        </w:rPr>
      </w:pPr>
      <w:r>
        <w:rPr>
          <w:rFonts w:ascii="宋体" w:hAnsi="宋体" w:hint="eastAsia"/>
          <w:b/>
        </w:rPr>
        <w:t>1.2不动产价值评估的主体、对象</w:t>
      </w:r>
    </w:p>
    <w:p w14:paraId="699A2FFB" w14:textId="77777777" w:rsidR="00B615B6" w:rsidRDefault="00D97594">
      <w:pPr>
        <w:tabs>
          <w:tab w:val="left" w:pos="3610"/>
        </w:tabs>
        <w:rPr>
          <w:rFonts w:ascii="宋体" w:hAnsi="宋体"/>
          <w:b/>
        </w:rPr>
      </w:pPr>
      <w:r>
        <w:rPr>
          <w:rFonts w:ascii="宋体" w:hAnsi="宋体" w:hint="eastAsia"/>
          <w:b/>
        </w:rPr>
        <w:t>1.3不动产评估的假设与价值类型</w:t>
      </w:r>
    </w:p>
    <w:p w14:paraId="347A447A" w14:textId="77777777" w:rsidR="00B615B6" w:rsidRDefault="00D97594">
      <w:pPr>
        <w:tabs>
          <w:tab w:val="left" w:pos="3610"/>
        </w:tabs>
        <w:rPr>
          <w:rFonts w:ascii="宋体" w:hAnsi="宋体"/>
          <w:b/>
        </w:rPr>
      </w:pPr>
      <w:r>
        <w:rPr>
          <w:rFonts w:ascii="宋体" w:hAnsi="宋体" w:hint="eastAsia"/>
          <w:b/>
        </w:rPr>
        <w:t>1.4不动产价值评估原则</w:t>
      </w:r>
    </w:p>
    <w:p w14:paraId="4B7F318F" w14:textId="77777777" w:rsidR="00B615B6" w:rsidRDefault="00B615B6">
      <w:pPr>
        <w:tabs>
          <w:tab w:val="left" w:pos="3610"/>
        </w:tabs>
        <w:rPr>
          <w:rFonts w:ascii="宋体" w:hAnsi="宋体"/>
          <w:b/>
        </w:rPr>
      </w:pPr>
    </w:p>
    <w:p w14:paraId="1F97E0BE" w14:textId="77777777" w:rsidR="00B615B6" w:rsidRDefault="00D97594">
      <w:pPr>
        <w:tabs>
          <w:tab w:val="left" w:pos="3610"/>
        </w:tabs>
        <w:jc w:val="center"/>
        <w:rPr>
          <w:rFonts w:ascii="宋体" w:hAnsi="宋体"/>
          <w:b/>
        </w:rPr>
      </w:pPr>
      <w:r>
        <w:rPr>
          <w:rFonts w:ascii="宋体" w:hAnsi="宋体" w:hint="eastAsia"/>
          <w:b/>
        </w:rPr>
        <w:t>第二章 不动产价值评估的应用</w:t>
      </w:r>
    </w:p>
    <w:p w14:paraId="59F04D20" w14:textId="77777777" w:rsidR="00B615B6" w:rsidRDefault="00D97594">
      <w:pPr>
        <w:tabs>
          <w:tab w:val="left" w:pos="3610"/>
        </w:tabs>
        <w:ind w:firstLineChars="200" w:firstLine="420"/>
        <w:rPr>
          <w:rFonts w:ascii="宋体" w:hAnsi="宋体"/>
          <w:bCs/>
        </w:rPr>
      </w:pPr>
      <w:r>
        <w:rPr>
          <w:rFonts w:ascii="宋体" w:hAnsi="宋体" w:hint="eastAsia"/>
          <w:bCs/>
        </w:rPr>
        <w:t>资产评估是为满足特定经济行为的需要进行的，委托人计划实施的经济行为决定了资产评估目的。资产评估目的，就是资产评估业务对应的经济行为的要求。评估目的影响资产评估的条件和价值类型的选择，不同的评估目的可能会对评估对象的确定、评估范围的界定、价值类型的选择等方面产生影响，在资产评估过程中发挥着重要的作用。资产评估目的对应的经济行为主要有融资、转让、保险、税收和司法等。资产评估专业人员在承接业务时应充分与委托人沟通评估目的，并在委托合同中明确规定。本章将不动产价值评估目的分为融资、交易、企业产权变动、财务报告、政府管理五大类，分别介绍这几种常见目的在不动产评估时的适用条件和注意事项。通过本章学习，可以对不动产评估目的</w:t>
      </w:r>
      <w:proofErr w:type="gramStart"/>
      <w:r>
        <w:rPr>
          <w:rFonts w:ascii="宋体" w:hAnsi="宋体" w:hint="eastAsia"/>
          <w:bCs/>
        </w:rPr>
        <w:t>作出</w:t>
      </w:r>
      <w:proofErr w:type="gramEnd"/>
      <w:r>
        <w:rPr>
          <w:rFonts w:ascii="宋体" w:hAnsi="宋体" w:hint="eastAsia"/>
          <w:bCs/>
        </w:rPr>
        <w:t>系统性的认识。</w:t>
      </w:r>
    </w:p>
    <w:p w14:paraId="724BB567" w14:textId="77777777" w:rsidR="00B615B6" w:rsidRDefault="00D97594">
      <w:pPr>
        <w:tabs>
          <w:tab w:val="left" w:pos="3610"/>
        </w:tabs>
        <w:rPr>
          <w:rFonts w:ascii="宋体" w:hAnsi="宋体"/>
          <w:b/>
        </w:rPr>
      </w:pPr>
      <w:r>
        <w:rPr>
          <w:rFonts w:ascii="宋体" w:hAnsi="宋体" w:hint="eastAsia"/>
          <w:b/>
        </w:rPr>
        <w:t>2.1以融资为目的</w:t>
      </w:r>
    </w:p>
    <w:p w14:paraId="3B6C544E" w14:textId="77777777" w:rsidR="00B615B6" w:rsidRDefault="00D97594">
      <w:pPr>
        <w:tabs>
          <w:tab w:val="left" w:pos="3610"/>
        </w:tabs>
        <w:rPr>
          <w:rFonts w:ascii="宋体" w:hAnsi="宋体"/>
          <w:b/>
        </w:rPr>
      </w:pPr>
      <w:r>
        <w:rPr>
          <w:rFonts w:ascii="宋体" w:hAnsi="宋体" w:hint="eastAsia"/>
          <w:b/>
        </w:rPr>
        <w:t>2.2以交易为目的</w:t>
      </w:r>
    </w:p>
    <w:p w14:paraId="381E51B2" w14:textId="77777777" w:rsidR="00B615B6" w:rsidRDefault="00D97594">
      <w:pPr>
        <w:tabs>
          <w:tab w:val="left" w:pos="3610"/>
        </w:tabs>
        <w:rPr>
          <w:rFonts w:ascii="宋体" w:hAnsi="宋体"/>
          <w:b/>
        </w:rPr>
      </w:pPr>
      <w:r>
        <w:rPr>
          <w:rFonts w:ascii="宋体" w:hAnsi="宋体" w:hint="eastAsia"/>
          <w:b/>
        </w:rPr>
        <w:t>2.3以企业产权变动为目的</w:t>
      </w:r>
    </w:p>
    <w:p w14:paraId="72093141" w14:textId="77777777" w:rsidR="00B615B6" w:rsidRDefault="00D97594">
      <w:pPr>
        <w:tabs>
          <w:tab w:val="left" w:pos="3610"/>
        </w:tabs>
        <w:rPr>
          <w:rFonts w:ascii="宋体" w:hAnsi="宋体"/>
          <w:b/>
        </w:rPr>
      </w:pPr>
      <w:r>
        <w:rPr>
          <w:rFonts w:ascii="宋体" w:hAnsi="宋体" w:hint="eastAsia"/>
          <w:b/>
        </w:rPr>
        <w:t>2.4以财务报告为目的</w:t>
      </w:r>
    </w:p>
    <w:p w14:paraId="4FE882B8" w14:textId="77777777" w:rsidR="00B615B6" w:rsidRDefault="00D97594">
      <w:pPr>
        <w:tabs>
          <w:tab w:val="left" w:pos="3610"/>
        </w:tabs>
        <w:rPr>
          <w:rFonts w:ascii="宋体" w:hAnsi="宋体"/>
          <w:b/>
        </w:rPr>
      </w:pPr>
      <w:r>
        <w:rPr>
          <w:rFonts w:ascii="宋体" w:hAnsi="宋体" w:hint="eastAsia"/>
          <w:b/>
        </w:rPr>
        <w:t>2.5以政府管理为目的</w:t>
      </w:r>
    </w:p>
    <w:p w14:paraId="1E8351BF" w14:textId="77777777" w:rsidR="00B615B6" w:rsidRDefault="00B615B6">
      <w:pPr>
        <w:tabs>
          <w:tab w:val="left" w:pos="3610"/>
        </w:tabs>
        <w:rPr>
          <w:rFonts w:ascii="宋体" w:hAnsi="宋体"/>
          <w:b/>
        </w:rPr>
      </w:pPr>
    </w:p>
    <w:p w14:paraId="35C373ED" w14:textId="77777777" w:rsidR="00B615B6" w:rsidRDefault="00D97594">
      <w:pPr>
        <w:tabs>
          <w:tab w:val="left" w:pos="3610"/>
        </w:tabs>
        <w:jc w:val="center"/>
        <w:rPr>
          <w:rFonts w:ascii="宋体" w:hAnsi="宋体"/>
          <w:b/>
        </w:rPr>
      </w:pPr>
      <w:r>
        <w:rPr>
          <w:rFonts w:ascii="宋体" w:hAnsi="宋体" w:hint="eastAsia"/>
          <w:b/>
        </w:rPr>
        <w:t>第三章 不动产价值评估的发展趋势</w:t>
      </w:r>
    </w:p>
    <w:p w14:paraId="3B5923C0" w14:textId="77777777" w:rsidR="00B615B6" w:rsidRDefault="00D97594">
      <w:pPr>
        <w:tabs>
          <w:tab w:val="left" w:pos="3610"/>
        </w:tabs>
        <w:ind w:firstLineChars="200" w:firstLine="420"/>
        <w:rPr>
          <w:rFonts w:ascii="宋体" w:hAnsi="宋体"/>
          <w:bCs/>
        </w:rPr>
      </w:pPr>
      <w:r>
        <w:rPr>
          <w:rFonts w:ascii="宋体" w:hAnsi="宋体" w:hint="eastAsia"/>
          <w:bCs/>
        </w:rPr>
        <w:t>在大数据与人工智能(AI)技术的双重驱动下，房地产评估行业正经历着前所未有的变革与发展趋势。这些趋势不仅重塑了评估的流程与方法，还提升了评估的精确度与效率，为整个房地产市场的健康发展注入了新的活力。随着大数据技术的广泛应用，房地产评估行业得以获取并处理海量数据，房地产评估模型向智能化方向发展，房地产市场的透明度和信息共享程度上升。未来，随着技术的不断进步和应用的深化，房地产评估行业将更加智能化、精准化、高效化和透明化。这将为房地产市场的健康发展提供有力支撑，并推动整个行业向更加科学、规范和</w:t>
      </w:r>
      <w:proofErr w:type="gramStart"/>
      <w:r>
        <w:rPr>
          <w:rFonts w:ascii="宋体" w:hAnsi="宋体" w:hint="eastAsia"/>
          <w:bCs/>
        </w:rPr>
        <w:t>可</w:t>
      </w:r>
      <w:proofErr w:type="gramEnd"/>
      <w:r>
        <w:rPr>
          <w:rFonts w:ascii="宋体" w:hAnsi="宋体" w:hint="eastAsia"/>
          <w:bCs/>
        </w:rPr>
        <w:t>持续的方向发展。</w:t>
      </w:r>
    </w:p>
    <w:p w14:paraId="6CC12644" w14:textId="77777777" w:rsidR="00B615B6" w:rsidRDefault="00D97594">
      <w:pPr>
        <w:tabs>
          <w:tab w:val="left" w:pos="3610"/>
        </w:tabs>
        <w:rPr>
          <w:rFonts w:ascii="宋体" w:hAnsi="宋体"/>
          <w:b/>
        </w:rPr>
      </w:pPr>
      <w:r>
        <w:rPr>
          <w:rFonts w:ascii="宋体" w:hAnsi="宋体" w:hint="eastAsia"/>
          <w:b/>
        </w:rPr>
        <w:t>3.1大数据在不动产价值评估中的作用</w:t>
      </w:r>
    </w:p>
    <w:p w14:paraId="5233F0E1" w14:textId="77777777" w:rsidR="00B615B6" w:rsidRDefault="00D97594">
      <w:pPr>
        <w:tabs>
          <w:tab w:val="left" w:pos="3610"/>
        </w:tabs>
        <w:rPr>
          <w:rFonts w:ascii="宋体" w:hAnsi="宋体"/>
          <w:b/>
        </w:rPr>
      </w:pPr>
      <w:r>
        <w:rPr>
          <w:rFonts w:ascii="宋体" w:hAnsi="宋体" w:hint="eastAsia"/>
          <w:b/>
        </w:rPr>
        <w:t>3.2机器学习与不动产批量评估</w:t>
      </w:r>
    </w:p>
    <w:p w14:paraId="5E3D60AB" w14:textId="77777777" w:rsidR="00B615B6" w:rsidRDefault="00D97594">
      <w:pPr>
        <w:tabs>
          <w:tab w:val="left" w:pos="3610"/>
        </w:tabs>
        <w:rPr>
          <w:rFonts w:ascii="宋体" w:hAnsi="宋体"/>
          <w:b/>
        </w:rPr>
      </w:pPr>
      <w:r>
        <w:rPr>
          <w:rFonts w:ascii="宋体" w:hAnsi="宋体" w:hint="eastAsia"/>
          <w:b/>
        </w:rPr>
        <w:t>3.3GIS在房地产评估中的应用</w:t>
      </w:r>
    </w:p>
    <w:p w14:paraId="6CA9F87F" w14:textId="77777777" w:rsidR="00B615B6" w:rsidRDefault="00B615B6">
      <w:pPr>
        <w:tabs>
          <w:tab w:val="left" w:pos="3610"/>
        </w:tabs>
        <w:rPr>
          <w:rFonts w:ascii="宋体" w:hAnsi="宋体"/>
          <w:b/>
        </w:rPr>
      </w:pPr>
    </w:p>
    <w:p w14:paraId="02FEDF7F" w14:textId="77777777" w:rsidR="00B615B6" w:rsidRDefault="00D97594">
      <w:pPr>
        <w:tabs>
          <w:tab w:val="left" w:pos="3610"/>
        </w:tabs>
        <w:jc w:val="center"/>
        <w:rPr>
          <w:rFonts w:ascii="宋体" w:hAnsi="宋体"/>
          <w:b/>
        </w:rPr>
      </w:pPr>
      <w:r>
        <w:rPr>
          <w:rFonts w:ascii="宋体" w:hAnsi="宋体" w:hint="eastAsia"/>
          <w:b/>
        </w:rPr>
        <w:t>第四章 马克思主义劳动价值论</w:t>
      </w:r>
    </w:p>
    <w:p w14:paraId="2AED711A" w14:textId="77777777" w:rsidR="00B615B6" w:rsidRDefault="00D97594">
      <w:pPr>
        <w:tabs>
          <w:tab w:val="left" w:pos="3610"/>
        </w:tabs>
        <w:ind w:firstLineChars="200" w:firstLine="420"/>
        <w:rPr>
          <w:rFonts w:ascii="宋体" w:hAnsi="宋体"/>
          <w:bCs/>
        </w:rPr>
      </w:pPr>
      <w:r>
        <w:rPr>
          <w:rFonts w:ascii="宋体" w:hAnsi="宋体" w:hint="eastAsia"/>
          <w:bCs/>
        </w:rPr>
        <w:t>马克思主义劳动价值论将价值问题从世界观和方法论的高度加以研究，是马克思主义价值学说的主要部分，指导人们的一切经济活动。掌握马克思主义劳动价值论，将有利于加深对价值、价值决定因素的了解，从而指导评估实践。本章将介绍马克思主义劳动价值论的发展过程和主要内容。一方面，介绍古典经济学家威廉·配第、亚当·斯密和大卫·李嘉图早期的劳动价值论内容及其不足之处。马克思对他们的思想进行批判继承，创造了科学的劳动价值论。另一方面，对马克思主义劳动价值论思想的主要内容做出梳理，并阐述理论内容与不动产价值评估的理论勾</w:t>
      </w:r>
      <w:proofErr w:type="gramStart"/>
      <w:r>
        <w:rPr>
          <w:rFonts w:ascii="宋体" w:hAnsi="宋体" w:hint="eastAsia"/>
          <w:bCs/>
        </w:rPr>
        <w:t>稽</w:t>
      </w:r>
      <w:proofErr w:type="gramEnd"/>
      <w:r>
        <w:rPr>
          <w:rFonts w:ascii="宋体" w:hAnsi="宋体" w:hint="eastAsia"/>
          <w:bCs/>
        </w:rPr>
        <w:t>关系。劳动的二重性决定了商品的两因素，即价值和使用价值。劳动决定价值，商品价值量由社会必要劳动时间决定，价格围绕价值上下波动。这些内容形成了不动产价值评估的理论基础。通过学习本章内容，能够对马克思主义劳动价值论做出较为全面和深刻的了解。</w:t>
      </w:r>
    </w:p>
    <w:p w14:paraId="42BD3ED3" w14:textId="77777777" w:rsidR="00B615B6" w:rsidRDefault="00D97594">
      <w:pPr>
        <w:tabs>
          <w:tab w:val="left" w:pos="3610"/>
        </w:tabs>
        <w:rPr>
          <w:rFonts w:ascii="宋体" w:hAnsi="宋体"/>
          <w:b/>
        </w:rPr>
      </w:pPr>
      <w:r>
        <w:rPr>
          <w:rFonts w:ascii="宋体" w:hAnsi="宋体" w:hint="eastAsia"/>
          <w:b/>
        </w:rPr>
        <w:t>4.1马克思主义劳动价值论的发展过程</w:t>
      </w:r>
    </w:p>
    <w:p w14:paraId="47A06F54" w14:textId="77777777" w:rsidR="00B615B6" w:rsidRDefault="00D97594">
      <w:pPr>
        <w:tabs>
          <w:tab w:val="left" w:pos="3610"/>
        </w:tabs>
        <w:rPr>
          <w:rFonts w:ascii="宋体" w:hAnsi="宋体"/>
          <w:b/>
        </w:rPr>
      </w:pPr>
      <w:r>
        <w:rPr>
          <w:rFonts w:ascii="宋体" w:hAnsi="宋体" w:hint="eastAsia"/>
          <w:b/>
        </w:rPr>
        <w:t>4.2马克思主义劳动价值论的主要内容</w:t>
      </w:r>
    </w:p>
    <w:p w14:paraId="7A923B9E" w14:textId="77777777" w:rsidR="00B615B6" w:rsidRDefault="00B615B6">
      <w:pPr>
        <w:tabs>
          <w:tab w:val="left" w:pos="3610"/>
        </w:tabs>
        <w:rPr>
          <w:rFonts w:ascii="宋体" w:hAnsi="宋体"/>
          <w:b/>
        </w:rPr>
      </w:pPr>
    </w:p>
    <w:p w14:paraId="022B53DB" w14:textId="77777777" w:rsidR="00B615B6" w:rsidRDefault="00D97594">
      <w:pPr>
        <w:tabs>
          <w:tab w:val="left" w:pos="3610"/>
        </w:tabs>
        <w:jc w:val="center"/>
        <w:rPr>
          <w:rFonts w:ascii="宋体" w:hAnsi="宋体"/>
          <w:b/>
        </w:rPr>
      </w:pPr>
      <w:r>
        <w:rPr>
          <w:rFonts w:ascii="宋体" w:hAnsi="宋体" w:hint="eastAsia"/>
          <w:b/>
        </w:rPr>
        <w:t>第五章 均衡理论与价格理论</w:t>
      </w:r>
    </w:p>
    <w:p w14:paraId="06935793" w14:textId="77777777" w:rsidR="00B615B6" w:rsidRDefault="00D97594">
      <w:pPr>
        <w:tabs>
          <w:tab w:val="left" w:pos="3610"/>
        </w:tabs>
        <w:ind w:firstLineChars="200" w:firstLine="420"/>
        <w:rPr>
          <w:rFonts w:ascii="宋体" w:hAnsi="宋体"/>
          <w:bCs/>
        </w:rPr>
      </w:pPr>
      <w:r>
        <w:rPr>
          <w:rFonts w:ascii="宋体" w:hAnsi="宋体" w:hint="eastAsia"/>
          <w:bCs/>
        </w:rPr>
        <w:t>本章首先基于微观经济学的市场均衡理论，第一，介绍了房地产需求的内涵和影响因素，分别对消费性房地产需求、生产要素房地产需求、房地产投资及理财需求进行了较为详尽的分析，并引入了房地产需求弹性的概念。第二，探讨了房地产供给内涵及其影响因素，介绍了房产供给的生产函数和房地产供给弹性的计算方法。第三，分析了房地产市场供求均衡的实现，并利用四象限模型讨论了房地产资产市场和空间市场的均衡。其次基于微观经济学的价格理论，第一，介绍了房地产价格的内涵和种类，指出房地产价格主要由土地开发费用、房屋开发费用和各类交易费用构成。第二，重点分析了住房价格，介绍了住房特征价格的概念和模型。通过本章的学习，可以对房地产的需求与供给有一个系统了解，并对房地产供求均衡的实现和房地产价格的形成有一个基本的认识。</w:t>
      </w:r>
    </w:p>
    <w:p w14:paraId="47903243" w14:textId="77777777" w:rsidR="00B615B6" w:rsidRDefault="00D97594">
      <w:pPr>
        <w:tabs>
          <w:tab w:val="left" w:pos="3610"/>
        </w:tabs>
        <w:rPr>
          <w:rFonts w:ascii="宋体" w:hAnsi="宋体"/>
          <w:b/>
        </w:rPr>
      </w:pPr>
      <w:r>
        <w:rPr>
          <w:rFonts w:ascii="宋体" w:hAnsi="宋体" w:hint="eastAsia"/>
          <w:b/>
        </w:rPr>
        <w:t>5.1均衡理论</w:t>
      </w:r>
    </w:p>
    <w:p w14:paraId="444DC1DA" w14:textId="77777777" w:rsidR="00B615B6" w:rsidRDefault="00D97594">
      <w:pPr>
        <w:tabs>
          <w:tab w:val="left" w:pos="3610"/>
        </w:tabs>
        <w:rPr>
          <w:rFonts w:ascii="宋体" w:hAnsi="宋体"/>
          <w:b/>
        </w:rPr>
      </w:pPr>
      <w:r>
        <w:rPr>
          <w:rFonts w:ascii="宋体" w:hAnsi="宋体" w:hint="eastAsia"/>
          <w:b/>
        </w:rPr>
        <w:t>5.2价格理论</w:t>
      </w:r>
    </w:p>
    <w:p w14:paraId="0D65E1B3" w14:textId="77777777" w:rsidR="00B615B6" w:rsidRDefault="00B615B6">
      <w:pPr>
        <w:tabs>
          <w:tab w:val="left" w:pos="3610"/>
        </w:tabs>
        <w:rPr>
          <w:rFonts w:ascii="宋体" w:hAnsi="宋体"/>
          <w:b/>
        </w:rPr>
      </w:pPr>
    </w:p>
    <w:p w14:paraId="47456B85" w14:textId="77777777" w:rsidR="00B615B6" w:rsidRDefault="00D97594">
      <w:pPr>
        <w:tabs>
          <w:tab w:val="left" w:pos="3610"/>
        </w:tabs>
        <w:jc w:val="center"/>
        <w:rPr>
          <w:rFonts w:ascii="宋体" w:hAnsi="宋体"/>
          <w:b/>
        </w:rPr>
      </w:pPr>
      <w:r>
        <w:rPr>
          <w:rFonts w:ascii="宋体" w:hAnsi="宋体" w:hint="eastAsia"/>
          <w:b/>
        </w:rPr>
        <w:t>第六章 地租理论与区位理论</w:t>
      </w:r>
    </w:p>
    <w:p w14:paraId="3485D5DE" w14:textId="77777777" w:rsidR="00B615B6" w:rsidRDefault="00D97594">
      <w:pPr>
        <w:tabs>
          <w:tab w:val="left" w:pos="3610"/>
        </w:tabs>
        <w:ind w:firstLineChars="200" w:firstLine="420"/>
        <w:rPr>
          <w:rFonts w:ascii="宋体" w:hAnsi="宋体"/>
          <w:bCs/>
        </w:rPr>
      </w:pPr>
      <w:r>
        <w:rPr>
          <w:rFonts w:ascii="宋体" w:hAnsi="宋体" w:hint="eastAsia"/>
          <w:bCs/>
        </w:rPr>
        <w:t>地租的形成和土地区位的决定是房地产经营中的关键因素，相应地租理论与区位理论是房地产经济学的重要理论基础。本章首先介绍了地租理论，分析了土地的自然和经济特性，展现了土地市场中地租与地价之间的关系，并按照理论演变的线索揭示各种地租理论的核心内容。其次本章介绍了区位理论，概述各类区位理论的核心内容，并揭示</w:t>
      </w:r>
      <w:proofErr w:type="gramStart"/>
      <w:r>
        <w:rPr>
          <w:rFonts w:ascii="宋体" w:hAnsi="宋体" w:hint="eastAsia"/>
          <w:bCs/>
        </w:rPr>
        <w:t>单中心</w:t>
      </w:r>
      <w:proofErr w:type="gramEnd"/>
      <w:r>
        <w:rPr>
          <w:rFonts w:ascii="宋体" w:hAnsi="宋体" w:hint="eastAsia"/>
          <w:bCs/>
        </w:rPr>
        <w:t>和多中心城市的空间分布特征。通过本章的学习，可以对地租和区位理论有一个系统的了解，并对地价的形成和城市空间分布模式有一个全面的认识。</w:t>
      </w:r>
    </w:p>
    <w:p w14:paraId="43DF2D8E" w14:textId="77777777" w:rsidR="00B615B6" w:rsidRDefault="00D97594">
      <w:pPr>
        <w:tabs>
          <w:tab w:val="left" w:pos="3610"/>
        </w:tabs>
        <w:rPr>
          <w:rFonts w:ascii="宋体" w:hAnsi="宋体"/>
          <w:b/>
        </w:rPr>
      </w:pPr>
      <w:r>
        <w:rPr>
          <w:rFonts w:ascii="宋体" w:hAnsi="宋体" w:hint="eastAsia"/>
          <w:b/>
        </w:rPr>
        <w:t>6.1地租理论</w:t>
      </w:r>
    </w:p>
    <w:p w14:paraId="3BF94C97" w14:textId="77777777" w:rsidR="00B615B6" w:rsidRDefault="00D97594">
      <w:pPr>
        <w:tabs>
          <w:tab w:val="left" w:pos="3610"/>
        </w:tabs>
        <w:rPr>
          <w:rFonts w:ascii="宋体" w:hAnsi="宋体"/>
          <w:b/>
        </w:rPr>
      </w:pPr>
      <w:r>
        <w:rPr>
          <w:rFonts w:ascii="宋体" w:hAnsi="宋体" w:hint="eastAsia"/>
          <w:b/>
        </w:rPr>
        <w:t>6.2区位理论</w:t>
      </w:r>
    </w:p>
    <w:p w14:paraId="704F5973" w14:textId="77777777" w:rsidR="00B615B6" w:rsidRDefault="00B615B6">
      <w:pPr>
        <w:tabs>
          <w:tab w:val="left" w:pos="3610"/>
        </w:tabs>
        <w:rPr>
          <w:rFonts w:ascii="宋体" w:hAnsi="宋体"/>
          <w:b/>
        </w:rPr>
      </w:pPr>
    </w:p>
    <w:p w14:paraId="15C6CE6B" w14:textId="77777777" w:rsidR="00B615B6" w:rsidRDefault="00D97594">
      <w:pPr>
        <w:tabs>
          <w:tab w:val="left" w:pos="3610"/>
        </w:tabs>
        <w:jc w:val="center"/>
        <w:rPr>
          <w:rFonts w:ascii="宋体" w:hAnsi="宋体"/>
          <w:b/>
        </w:rPr>
      </w:pPr>
      <w:r>
        <w:rPr>
          <w:rFonts w:ascii="宋体" w:hAnsi="宋体" w:hint="eastAsia"/>
          <w:b/>
        </w:rPr>
        <w:t>第七章 周期理论与外部性理论</w:t>
      </w:r>
    </w:p>
    <w:p w14:paraId="0F539E54" w14:textId="77777777" w:rsidR="00B615B6" w:rsidRDefault="00D97594">
      <w:pPr>
        <w:tabs>
          <w:tab w:val="left" w:pos="3610"/>
        </w:tabs>
        <w:ind w:firstLineChars="200" w:firstLine="420"/>
        <w:rPr>
          <w:rFonts w:ascii="宋体" w:hAnsi="宋体"/>
          <w:bCs/>
        </w:rPr>
      </w:pPr>
      <w:r>
        <w:rPr>
          <w:rFonts w:ascii="宋体" w:hAnsi="宋体" w:hint="eastAsia"/>
          <w:bCs/>
        </w:rPr>
        <w:t>本章首先基于微观经济学的周期理论，第一，介绍了房地产经济周期的内涵和分类。第二，分析了房地产经济周期波动的传导机制与影响周期波动的内外部因素。第三，揭示了经济周期与房地产经济周期的关系。第四，介绍了房地产经济周期的测度方法与衡量指标。其次基于微观经济学的外部性理论，第一，介绍了房地产外部性的内涵、分类和影响效应。第二，给出了房地产外部性量化的基本方法。第三，对房地产外部性的治理方法及其效果进行</w:t>
      </w:r>
      <w:r>
        <w:rPr>
          <w:rFonts w:ascii="宋体" w:hAnsi="宋体" w:hint="eastAsia"/>
          <w:bCs/>
        </w:rPr>
        <w:lastRenderedPageBreak/>
        <w:t>探讨。通过本章的学习，可以对房地产经济周期与外部性的特征有一个系统的了解，有助于理解房地产政策调控的意义，初步掌握政策调控的基本方法。</w:t>
      </w:r>
    </w:p>
    <w:p w14:paraId="33AE6D45" w14:textId="77777777" w:rsidR="00B615B6" w:rsidRDefault="00D97594">
      <w:pPr>
        <w:tabs>
          <w:tab w:val="left" w:pos="3610"/>
        </w:tabs>
        <w:rPr>
          <w:rFonts w:ascii="宋体" w:hAnsi="宋体"/>
          <w:b/>
        </w:rPr>
      </w:pPr>
      <w:r>
        <w:rPr>
          <w:rFonts w:ascii="宋体" w:hAnsi="宋体" w:hint="eastAsia"/>
          <w:b/>
        </w:rPr>
        <w:t>7.1周期理论</w:t>
      </w:r>
    </w:p>
    <w:p w14:paraId="77A98EC7" w14:textId="77777777" w:rsidR="00B615B6" w:rsidRDefault="00D97594">
      <w:pPr>
        <w:tabs>
          <w:tab w:val="left" w:pos="3610"/>
        </w:tabs>
        <w:rPr>
          <w:rFonts w:ascii="宋体" w:hAnsi="宋体"/>
          <w:b/>
        </w:rPr>
      </w:pPr>
      <w:r>
        <w:rPr>
          <w:rFonts w:ascii="宋体" w:hAnsi="宋体" w:hint="eastAsia"/>
          <w:b/>
        </w:rPr>
        <w:t>7.2外部性理论</w:t>
      </w:r>
    </w:p>
    <w:p w14:paraId="3C928B04" w14:textId="77777777" w:rsidR="00B615B6" w:rsidRDefault="00B615B6">
      <w:pPr>
        <w:tabs>
          <w:tab w:val="left" w:pos="3610"/>
        </w:tabs>
        <w:rPr>
          <w:rFonts w:ascii="宋体" w:hAnsi="宋体"/>
          <w:b/>
        </w:rPr>
      </w:pPr>
    </w:p>
    <w:p w14:paraId="6A204816" w14:textId="77777777" w:rsidR="00B615B6" w:rsidRDefault="00D97594">
      <w:pPr>
        <w:tabs>
          <w:tab w:val="left" w:pos="3610"/>
        </w:tabs>
        <w:jc w:val="center"/>
        <w:rPr>
          <w:rFonts w:ascii="宋体" w:hAnsi="宋体"/>
          <w:b/>
        </w:rPr>
      </w:pPr>
      <w:r>
        <w:rPr>
          <w:rFonts w:ascii="宋体" w:hAnsi="宋体" w:hint="eastAsia"/>
          <w:b/>
        </w:rPr>
        <w:t>第八章 成本导向的估价方法</w:t>
      </w:r>
    </w:p>
    <w:p w14:paraId="56925ADC" w14:textId="77777777" w:rsidR="00B615B6" w:rsidRDefault="00D97594">
      <w:pPr>
        <w:tabs>
          <w:tab w:val="left" w:pos="3610"/>
        </w:tabs>
        <w:ind w:firstLineChars="200" w:firstLine="420"/>
        <w:rPr>
          <w:rFonts w:ascii="宋体" w:hAnsi="宋体"/>
          <w:bCs/>
        </w:rPr>
      </w:pPr>
      <w:r>
        <w:rPr>
          <w:rFonts w:ascii="宋体" w:hAnsi="宋体" w:hint="eastAsia"/>
          <w:bCs/>
        </w:rPr>
        <w:t>本章讨论两种成本导向的估价方法——</w:t>
      </w:r>
      <w:proofErr w:type="gramStart"/>
      <w:r>
        <w:rPr>
          <w:rFonts w:ascii="宋体" w:hAnsi="宋体" w:hint="eastAsia"/>
          <w:bCs/>
        </w:rPr>
        <w:t>—</w:t>
      </w:r>
      <w:proofErr w:type="gramEnd"/>
      <w:r>
        <w:rPr>
          <w:rFonts w:ascii="宋体" w:hAnsi="宋体" w:hint="eastAsia"/>
          <w:bCs/>
        </w:rPr>
        <w:t>重置成本法和假设开发法。这两种方法高度相关，假设开发法是成本法的衍生方法，所以其基本原理相同。但根据《房地产估价规范(GB/50291-2015)》要求，两种方法在具体测算时的操作方式确有明显差异，假设开发法引入了考虑资金时间价值的操作方式。</w:t>
      </w:r>
    </w:p>
    <w:p w14:paraId="2D1F93D8" w14:textId="77777777" w:rsidR="00B615B6" w:rsidRDefault="00D97594">
      <w:pPr>
        <w:tabs>
          <w:tab w:val="left" w:pos="3610"/>
        </w:tabs>
        <w:rPr>
          <w:rFonts w:ascii="宋体" w:hAnsi="宋体"/>
          <w:b/>
        </w:rPr>
      </w:pPr>
      <w:r>
        <w:rPr>
          <w:rFonts w:ascii="宋体" w:hAnsi="宋体" w:hint="eastAsia"/>
          <w:b/>
        </w:rPr>
        <w:t>8.1重置成本法</w:t>
      </w:r>
    </w:p>
    <w:p w14:paraId="5D4F6FE4" w14:textId="77777777" w:rsidR="00B615B6" w:rsidRDefault="00D97594">
      <w:pPr>
        <w:tabs>
          <w:tab w:val="left" w:pos="3610"/>
        </w:tabs>
        <w:rPr>
          <w:rFonts w:ascii="宋体" w:hAnsi="宋体"/>
          <w:b/>
        </w:rPr>
      </w:pPr>
      <w:r>
        <w:rPr>
          <w:rFonts w:ascii="宋体" w:hAnsi="宋体" w:hint="eastAsia"/>
          <w:b/>
        </w:rPr>
        <w:t>8.2假设开发法</w:t>
      </w:r>
    </w:p>
    <w:p w14:paraId="50D2EC81" w14:textId="77777777" w:rsidR="00B615B6" w:rsidRDefault="00B615B6">
      <w:pPr>
        <w:tabs>
          <w:tab w:val="left" w:pos="3610"/>
        </w:tabs>
        <w:rPr>
          <w:rFonts w:ascii="宋体" w:hAnsi="宋体"/>
          <w:b/>
        </w:rPr>
      </w:pPr>
    </w:p>
    <w:p w14:paraId="47EF97F3" w14:textId="77777777" w:rsidR="00B615B6" w:rsidRDefault="00D97594">
      <w:pPr>
        <w:tabs>
          <w:tab w:val="left" w:pos="3610"/>
        </w:tabs>
        <w:jc w:val="center"/>
        <w:rPr>
          <w:rFonts w:ascii="宋体" w:hAnsi="宋体"/>
          <w:b/>
        </w:rPr>
      </w:pPr>
      <w:r>
        <w:rPr>
          <w:rFonts w:ascii="宋体" w:hAnsi="宋体" w:hint="eastAsia"/>
          <w:b/>
        </w:rPr>
        <w:t>第九章 竞争导向的估价方法</w:t>
      </w:r>
    </w:p>
    <w:p w14:paraId="7269DA9B" w14:textId="77777777" w:rsidR="00B615B6" w:rsidRDefault="00D97594">
      <w:pPr>
        <w:tabs>
          <w:tab w:val="left" w:pos="3610"/>
        </w:tabs>
        <w:ind w:firstLineChars="200" w:firstLine="420"/>
        <w:rPr>
          <w:rFonts w:ascii="宋体" w:hAnsi="宋体"/>
          <w:bCs/>
        </w:rPr>
      </w:pPr>
      <w:r>
        <w:rPr>
          <w:rFonts w:ascii="宋体" w:hAnsi="宋体" w:hint="eastAsia"/>
          <w:bCs/>
        </w:rPr>
        <w:t>本章讨论两种竞争导向的估价方法——</w:t>
      </w:r>
      <w:proofErr w:type="gramStart"/>
      <w:r>
        <w:rPr>
          <w:rFonts w:ascii="宋体" w:hAnsi="宋体" w:hint="eastAsia"/>
          <w:bCs/>
        </w:rPr>
        <w:t>—</w:t>
      </w:r>
      <w:proofErr w:type="gramEnd"/>
      <w:r>
        <w:rPr>
          <w:rFonts w:ascii="宋体" w:hAnsi="宋体" w:hint="eastAsia"/>
          <w:bCs/>
        </w:rPr>
        <w:t>市场比较法和基准地价法。这两种方法高度相关，基准地价法是市场法的衍生，所以其基本原理相同。市场比较法同时适用于房地产和土地价值评估，而基准地价法则只适用一定目的下的土地价值评估。两种方法在具体测算时所比较的对象有明显差异，可以通过同一土地评估对象的市场比较法和基准地价法评估实践去理解其差异。</w:t>
      </w:r>
    </w:p>
    <w:p w14:paraId="22F6FCF3" w14:textId="77777777" w:rsidR="00B615B6" w:rsidRDefault="00D97594">
      <w:pPr>
        <w:tabs>
          <w:tab w:val="left" w:pos="3610"/>
        </w:tabs>
        <w:rPr>
          <w:rFonts w:ascii="宋体" w:hAnsi="宋体"/>
          <w:b/>
        </w:rPr>
      </w:pPr>
      <w:r>
        <w:rPr>
          <w:rFonts w:ascii="宋体" w:hAnsi="宋体" w:hint="eastAsia"/>
          <w:b/>
        </w:rPr>
        <w:t>9.1市场比较法</w:t>
      </w:r>
    </w:p>
    <w:p w14:paraId="1DFD36B9" w14:textId="77777777" w:rsidR="00B615B6" w:rsidRDefault="00D97594">
      <w:pPr>
        <w:tabs>
          <w:tab w:val="left" w:pos="3610"/>
        </w:tabs>
        <w:rPr>
          <w:rFonts w:ascii="宋体" w:hAnsi="宋体"/>
          <w:b/>
        </w:rPr>
      </w:pPr>
      <w:r>
        <w:rPr>
          <w:rFonts w:ascii="宋体" w:hAnsi="宋体" w:hint="eastAsia"/>
          <w:b/>
        </w:rPr>
        <w:t>9.2基准地价法</w:t>
      </w:r>
    </w:p>
    <w:p w14:paraId="56D15878" w14:textId="77777777" w:rsidR="00B615B6" w:rsidRDefault="00B615B6">
      <w:pPr>
        <w:tabs>
          <w:tab w:val="left" w:pos="3610"/>
        </w:tabs>
        <w:rPr>
          <w:rFonts w:ascii="宋体" w:hAnsi="宋体"/>
          <w:b/>
        </w:rPr>
      </w:pPr>
    </w:p>
    <w:p w14:paraId="6E50B9F2" w14:textId="77777777" w:rsidR="00B615B6" w:rsidRDefault="00D97594">
      <w:pPr>
        <w:tabs>
          <w:tab w:val="left" w:pos="3610"/>
        </w:tabs>
        <w:jc w:val="center"/>
        <w:rPr>
          <w:rFonts w:ascii="宋体" w:hAnsi="宋体"/>
          <w:b/>
        </w:rPr>
      </w:pPr>
      <w:r>
        <w:rPr>
          <w:rFonts w:ascii="宋体" w:hAnsi="宋体" w:hint="eastAsia"/>
          <w:b/>
        </w:rPr>
        <w:t>第十章 效用趋势导向的估价法</w:t>
      </w:r>
    </w:p>
    <w:p w14:paraId="532012B7" w14:textId="77777777" w:rsidR="00B615B6" w:rsidRDefault="00D97594">
      <w:pPr>
        <w:tabs>
          <w:tab w:val="left" w:pos="3610"/>
        </w:tabs>
        <w:ind w:firstLineChars="200" w:firstLine="420"/>
        <w:rPr>
          <w:rFonts w:ascii="宋体" w:hAnsi="宋体"/>
          <w:bCs/>
        </w:rPr>
      </w:pPr>
      <w:r>
        <w:rPr>
          <w:rFonts w:ascii="宋体" w:hAnsi="宋体" w:hint="eastAsia"/>
          <w:bCs/>
        </w:rPr>
        <w:t>本章详细阐释两种基于效用趋势导向的不动产估价法——</w:t>
      </w:r>
      <w:proofErr w:type="gramStart"/>
      <w:r>
        <w:rPr>
          <w:rFonts w:ascii="宋体" w:hAnsi="宋体" w:hint="eastAsia"/>
          <w:bCs/>
        </w:rPr>
        <w:t>—</w:t>
      </w:r>
      <w:proofErr w:type="gramEnd"/>
      <w:r>
        <w:rPr>
          <w:rFonts w:ascii="宋体" w:hAnsi="宋体" w:hint="eastAsia"/>
          <w:bCs/>
        </w:rPr>
        <w:t>收益还原法和长期趋势法。收益还原法作为资产评估的三大基本方法之一，广泛适用于商业、酒店、办公楼、出租型公寓等收益性房地产，是非常重要且运用广泛的评估方法。长期趋势法是一种对未来价值价格进行预测的方法，在不动产评估中经常会遇到需要判断其未来价值的情况，因此掌握长期趋势法也非常必要。</w:t>
      </w:r>
    </w:p>
    <w:p w14:paraId="1B95BF3B" w14:textId="77777777" w:rsidR="00B615B6" w:rsidRDefault="00D97594">
      <w:pPr>
        <w:tabs>
          <w:tab w:val="left" w:pos="3610"/>
        </w:tabs>
        <w:rPr>
          <w:rFonts w:ascii="宋体" w:hAnsi="宋体"/>
          <w:b/>
        </w:rPr>
      </w:pPr>
      <w:r>
        <w:rPr>
          <w:rFonts w:ascii="宋体" w:hAnsi="宋体" w:hint="eastAsia"/>
          <w:b/>
        </w:rPr>
        <w:t>10.1收益还原法</w:t>
      </w:r>
    </w:p>
    <w:p w14:paraId="40A8412D" w14:textId="77777777" w:rsidR="00B615B6" w:rsidRDefault="00D97594">
      <w:pPr>
        <w:tabs>
          <w:tab w:val="left" w:pos="3610"/>
        </w:tabs>
        <w:rPr>
          <w:rFonts w:ascii="宋体" w:hAnsi="宋体"/>
          <w:b/>
        </w:rPr>
      </w:pPr>
      <w:r>
        <w:rPr>
          <w:rFonts w:ascii="宋体" w:hAnsi="宋体" w:hint="eastAsia"/>
          <w:b/>
        </w:rPr>
        <w:t>10.2长期趋势法</w:t>
      </w:r>
    </w:p>
    <w:p w14:paraId="6376FF8F" w14:textId="77777777" w:rsidR="00B615B6" w:rsidRDefault="00B615B6">
      <w:pPr>
        <w:tabs>
          <w:tab w:val="left" w:pos="3610"/>
        </w:tabs>
        <w:rPr>
          <w:rFonts w:ascii="宋体" w:hAnsi="宋体"/>
          <w:b/>
        </w:rPr>
      </w:pPr>
    </w:p>
    <w:p w14:paraId="0CC3A773" w14:textId="77777777" w:rsidR="00B615B6" w:rsidRDefault="00D97594">
      <w:pPr>
        <w:tabs>
          <w:tab w:val="left" w:pos="3610"/>
        </w:tabs>
        <w:jc w:val="center"/>
        <w:rPr>
          <w:rFonts w:ascii="宋体" w:hAnsi="宋体"/>
          <w:b/>
        </w:rPr>
      </w:pPr>
      <w:r>
        <w:rPr>
          <w:rFonts w:ascii="宋体" w:hAnsi="宋体" w:hint="eastAsia"/>
          <w:b/>
        </w:rPr>
        <w:t>第十一章 不动产价值评估准则与职业道德</w:t>
      </w:r>
    </w:p>
    <w:p w14:paraId="6F343AAE" w14:textId="77777777" w:rsidR="00B615B6" w:rsidRDefault="00D97594">
      <w:pPr>
        <w:tabs>
          <w:tab w:val="left" w:pos="3610"/>
        </w:tabs>
        <w:ind w:firstLineChars="200" w:firstLine="420"/>
        <w:rPr>
          <w:rFonts w:ascii="宋体" w:hAnsi="宋体"/>
          <w:bCs/>
        </w:rPr>
      </w:pPr>
      <w:r>
        <w:rPr>
          <w:rFonts w:ascii="宋体" w:hAnsi="宋体" w:hint="eastAsia"/>
          <w:bCs/>
        </w:rPr>
        <w:t>本章围绕不动产价值评估准则与职业伦理展开。首先介绍不动产价值评估准则，阐述房地产评估准则在保持行业公信力、帮助理解报告、维护权益等多方面的作用，详细剖析我国房地产评估准则框架，涵盖法律法规、部门规章、评估准则和其他规范文件。接着深入解读两个重要准则。《房地产估价规范》介绍其制订背景、意义，详细解读估价原则、程序、方法等章节要点；《资产评估准则—不动产》说明制订背景，解读总则、基本要求、操作要求等章节内容，并对二者进行对比分析。随后聚焦不动产评估中的职业道德。先阐述职业道德基本概念，包括坚守独立客观公正原则、处理利益冲突等方面；再介绍国家规范要求和行业自律要求，分别说明中华人民共和国住房和城乡建设部以及中国资产评估协会的相关规定。</w:t>
      </w:r>
    </w:p>
    <w:p w14:paraId="6F8C7E7A" w14:textId="77777777" w:rsidR="00B615B6" w:rsidRDefault="00D97594">
      <w:pPr>
        <w:tabs>
          <w:tab w:val="left" w:pos="3610"/>
        </w:tabs>
        <w:rPr>
          <w:rFonts w:ascii="宋体" w:hAnsi="宋体"/>
          <w:b/>
        </w:rPr>
      </w:pPr>
      <w:r>
        <w:rPr>
          <w:rFonts w:ascii="宋体" w:hAnsi="宋体" w:hint="eastAsia"/>
          <w:b/>
        </w:rPr>
        <w:t>11.1不动产价值评估准则</w:t>
      </w:r>
    </w:p>
    <w:p w14:paraId="63668CBA" w14:textId="77777777" w:rsidR="00B615B6" w:rsidRDefault="00D97594">
      <w:pPr>
        <w:tabs>
          <w:tab w:val="left" w:pos="3610"/>
        </w:tabs>
        <w:rPr>
          <w:rFonts w:ascii="宋体" w:hAnsi="宋体"/>
          <w:b/>
        </w:rPr>
      </w:pPr>
      <w:r>
        <w:rPr>
          <w:rFonts w:ascii="宋体" w:hAnsi="宋体" w:hint="eastAsia"/>
          <w:b/>
        </w:rPr>
        <w:t>11.2不动产评估中的职业道德</w:t>
      </w:r>
    </w:p>
    <w:p w14:paraId="4D22C8FB" w14:textId="77777777" w:rsidR="00B615B6" w:rsidRDefault="00B615B6">
      <w:pPr>
        <w:tabs>
          <w:tab w:val="left" w:pos="3610"/>
        </w:tabs>
        <w:rPr>
          <w:rFonts w:ascii="宋体" w:hAnsi="宋体"/>
          <w:b/>
        </w:rPr>
      </w:pPr>
    </w:p>
    <w:p w14:paraId="7519D6FA" w14:textId="77777777" w:rsidR="00B615B6" w:rsidRDefault="00D97594">
      <w:pPr>
        <w:tabs>
          <w:tab w:val="left" w:pos="3610"/>
        </w:tabs>
        <w:jc w:val="center"/>
        <w:rPr>
          <w:rFonts w:ascii="宋体" w:hAnsi="宋体"/>
          <w:b/>
        </w:rPr>
      </w:pPr>
      <w:r>
        <w:rPr>
          <w:rFonts w:ascii="宋体" w:hAnsi="宋体" w:hint="eastAsia"/>
          <w:b/>
        </w:rPr>
        <w:t>第十二章 不动产价值评估国际比较</w:t>
      </w:r>
    </w:p>
    <w:p w14:paraId="649DCD6F" w14:textId="77777777" w:rsidR="00B615B6" w:rsidRDefault="00D97594">
      <w:pPr>
        <w:tabs>
          <w:tab w:val="left" w:pos="3610"/>
        </w:tabs>
        <w:ind w:firstLineChars="200" w:firstLine="420"/>
        <w:rPr>
          <w:rFonts w:ascii="宋体" w:hAnsi="宋体"/>
          <w:bCs/>
        </w:rPr>
      </w:pPr>
      <w:r>
        <w:rPr>
          <w:rFonts w:ascii="宋体" w:hAnsi="宋体" w:hint="eastAsia"/>
          <w:bCs/>
        </w:rPr>
        <w:lastRenderedPageBreak/>
        <w:t>在全球经济一体化的当下，不动产价值评估作为房地产市场的关键环节，其重要性愈发凸显。不同国家因经济模式、法律体系和市场环境的差异，形成了各具特色的不动产价值评估体系。本章将深入剖析美国、德国、新加坡的不动产价值评估体系，从发展历程、评估准则与法规、监管体系到体系特点，进行全方位解读，并与中国评估体系展开对比分析。同时，还将介绍《国际评估准则》在全球评估行业中的重要作用。通过学习这些内容，能帮助读者拓宽国际视野，加深对不动产价值评估行业的理解，为相关从业者和学习者提供有益参考。</w:t>
      </w:r>
    </w:p>
    <w:p w14:paraId="4F8B6DEC" w14:textId="77777777" w:rsidR="00B615B6" w:rsidRDefault="00D97594">
      <w:pPr>
        <w:tabs>
          <w:tab w:val="left" w:pos="3610"/>
        </w:tabs>
        <w:rPr>
          <w:rFonts w:ascii="宋体" w:hAnsi="宋体"/>
          <w:b/>
        </w:rPr>
      </w:pPr>
      <w:r>
        <w:rPr>
          <w:rFonts w:ascii="宋体" w:hAnsi="宋体" w:hint="eastAsia"/>
          <w:b/>
        </w:rPr>
        <w:t>12.1美国不动产价值评估</w:t>
      </w:r>
    </w:p>
    <w:p w14:paraId="04F05F58" w14:textId="77777777" w:rsidR="00B615B6" w:rsidRDefault="00D97594">
      <w:pPr>
        <w:tabs>
          <w:tab w:val="left" w:pos="3610"/>
        </w:tabs>
        <w:rPr>
          <w:rFonts w:ascii="宋体" w:hAnsi="宋体"/>
          <w:b/>
        </w:rPr>
      </w:pPr>
      <w:r>
        <w:rPr>
          <w:rFonts w:ascii="宋体" w:hAnsi="宋体" w:hint="eastAsia"/>
          <w:b/>
        </w:rPr>
        <w:t>12.1德国不动产价值评估</w:t>
      </w:r>
    </w:p>
    <w:p w14:paraId="571637B2" w14:textId="36124D3A" w:rsidR="00B615B6" w:rsidRDefault="00D97594">
      <w:pPr>
        <w:tabs>
          <w:tab w:val="left" w:pos="3610"/>
        </w:tabs>
        <w:rPr>
          <w:rFonts w:ascii="宋体" w:hAnsi="宋体"/>
          <w:b/>
        </w:rPr>
      </w:pPr>
      <w:r>
        <w:rPr>
          <w:rFonts w:ascii="宋体" w:hAnsi="宋体" w:hint="eastAsia"/>
          <w:b/>
        </w:rPr>
        <w:t>12.1新加坡不动产价值评估</w:t>
      </w:r>
    </w:p>
    <w:p w14:paraId="77297FDC" w14:textId="2DAED8ED" w:rsidR="00856D08" w:rsidRDefault="00856D08">
      <w:pPr>
        <w:widowControl/>
        <w:jc w:val="left"/>
        <w:rPr>
          <w:rFonts w:ascii="宋体" w:hAnsi="宋体"/>
          <w:b/>
        </w:rPr>
      </w:pPr>
      <w:r>
        <w:rPr>
          <w:rFonts w:ascii="宋体" w:hAnsi="宋体"/>
          <w:b/>
        </w:rPr>
        <w:br w:type="page"/>
      </w:r>
    </w:p>
    <w:p w14:paraId="2C11629D" w14:textId="52CDB0AF" w:rsidR="00856D08" w:rsidRDefault="00856D08" w:rsidP="00856D08">
      <w:pPr>
        <w:tabs>
          <w:tab w:val="left" w:pos="3610"/>
        </w:tabs>
        <w:jc w:val="center"/>
        <w:rPr>
          <w:b/>
          <w:sz w:val="32"/>
          <w:szCs w:val="32"/>
        </w:rPr>
      </w:pPr>
      <w:r>
        <w:rPr>
          <w:rFonts w:hint="eastAsia"/>
          <w:b/>
          <w:sz w:val="36"/>
          <w:szCs w:val="36"/>
        </w:rPr>
        <w:lastRenderedPageBreak/>
        <w:t>教学进度安排</w:t>
      </w:r>
    </w:p>
    <w:p w14:paraId="3F5F081D" w14:textId="77777777" w:rsidR="00856D08" w:rsidRDefault="00856D08">
      <w:pPr>
        <w:tabs>
          <w:tab w:val="left" w:pos="3610"/>
        </w:tabs>
        <w:rPr>
          <w:rFonts w:ascii="宋体" w:hAnsi="宋体"/>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128"/>
        <w:gridCol w:w="567"/>
        <w:gridCol w:w="2957"/>
        <w:gridCol w:w="509"/>
        <w:gridCol w:w="2600"/>
      </w:tblGrid>
      <w:tr w:rsidR="00856D08" w14:paraId="110E2E12" w14:textId="77777777" w:rsidTr="00856D08">
        <w:trPr>
          <w:trHeight w:val="454"/>
          <w:tblHeader/>
          <w:jc w:val="center"/>
        </w:trPr>
        <w:tc>
          <w:tcPr>
            <w:tcW w:w="322" w:type="pct"/>
            <w:vMerge w:val="restart"/>
            <w:shd w:val="clear" w:color="auto" w:fill="auto"/>
            <w:textDirection w:val="tbRlV"/>
            <w:vAlign w:val="center"/>
          </w:tcPr>
          <w:p w14:paraId="6CFE468A" w14:textId="77777777" w:rsidR="00856D08" w:rsidRDefault="00856D08" w:rsidP="00FC00FE">
            <w:pPr>
              <w:ind w:left="113" w:right="113"/>
              <w:jc w:val="center"/>
              <w:rPr>
                <w:szCs w:val="21"/>
              </w:rPr>
            </w:pPr>
            <w:r>
              <w:rPr>
                <w:rFonts w:hint="eastAsia"/>
                <w:szCs w:val="21"/>
              </w:rPr>
              <w:t>周</w:t>
            </w:r>
            <w:r>
              <w:rPr>
                <w:rFonts w:hint="eastAsia"/>
                <w:szCs w:val="21"/>
              </w:rPr>
              <w:t xml:space="preserve">  </w:t>
            </w:r>
            <w:r>
              <w:rPr>
                <w:rFonts w:hint="eastAsia"/>
                <w:szCs w:val="21"/>
              </w:rPr>
              <w:t>次</w:t>
            </w:r>
          </w:p>
        </w:tc>
        <w:tc>
          <w:tcPr>
            <w:tcW w:w="680" w:type="pct"/>
            <w:vMerge w:val="restart"/>
            <w:shd w:val="clear" w:color="auto" w:fill="auto"/>
            <w:vAlign w:val="center"/>
          </w:tcPr>
          <w:p w14:paraId="71E52061" w14:textId="7FB8E9D5" w:rsidR="00856D08" w:rsidRDefault="00856D08" w:rsidP="00FC00FE">
            <w:pPr>
              <w:jc w:val="center"/>
              <w:rPr>
                <w:szCs w:val="21"/>
              </w:rPr>
            </w:pPr>
            <w:r>
              <w:rPr>
                <w:szCs w:val="21"/>
              </w:rPr>
              <w:t>3</w:t>
            </w:r>
            <w:r>
              <w:rPr>
                <w:rFonts w:hint="eastAsia"/>
                <w:szCs w:val="21"/>
              </w:rPr>
              <w:t>月</w:t>
            </w:r>
            <w:r>
              <w:rPr>
                <w:szCs w:val="21"/>
              </w:rPr>
              <w:t>2</w:t>
            </w:r>
            <w:r>
              <w:rPr>
                <w:rFonts w:hint="eastAsia"/>
                <w:szCs w:val="21"/>
              </w:rPr>
              <w:t>日～</w:t>
            </w:r>
            <w:r w:rsidR="00BB784B">
              <w:rPr>
                <w:rFonts w:hint="eastAsia"/>
                <w:szCs w:val="21"/>
              </w:rPr>
              <w:t>5</w:t>
            </w:r>
            <w:r>
              <w:rPr>
                <w:rFonts w:hint="eastAsia"/>
                <w:szCs w:val="21"/>
              </w:rPr>
              <w:t>月</w:t>
            </w:r>
            <w:r>
              <w:rPr>
                <w:szCs w:val="21"/>
              </w:rPr>
              <w:t>1</w:t>
            </w:r>
            <w:r w:rsidR="00BB784B">
              <w:rPr>
                <w:szCs w:val="21"/>
              </w:rPr>
              <w:t>5</w:t>
            </w:r>
            <w:r>
              <w:rPr>
                <w:rFonts w:hint="eastAsia"/>
                <w:szCs w:val="21"/>
              </w:rPr>
              <w:t>日</w:t>
            </w:r>
          </w:p>
        </w:tc>
        <w:tc>
          <w:tcPr>
            <w:tcW w:w="2123" w:type="pct"/>
            <w:gridSpan w:val="2"/>
            <w:shd w:val="clear" w:color="auto" w:fill="auto"/>
            <w:vAlign w:val="center"/>
          </w:tcPr>
          <w:p w14:paraId="7E181A00" w14:textId="77777777" w:rsidR="00856D08" w:rsidRDefault="00856D08" w:rsidP="00FC00FE">
            <w:pPr>
              <w:jc w:val="center"/>
              <w:rPr>
                <w:szCs w:val="21"/>
              </w:rPr>
            </w:pPr>
            <w:r>
              <w:rPr>
                <w:rFonts w:hint="eastAsia"/>
                <w:szCs w:val="21"/>
              </w:rPr>
              <w:t>讲</w:t>
            </w:r>
            <w:r>
              <w:rPr>
                <w:rFonts w:hint="eastAsia"/>
                <w:szCs w:val="21"/>
              </w:rPr>
              <w:t xml:space="preserve">                   </w:t>
            </w:r>
            <w:r>
              <w:rPr>
                <w:rFonts w:hint="eastAsia"/>
                <w:szCs w:val="21"/>
              </w:rPr>
              <w:t>课</w:t>
            </w:r>
          </w:p>
        </w:tc>
        <w:tc>
          <w:tcPr>
            <w:tcW w:w="1875" w:type="pct"/>
            <w:gridSpan w:val="2"/>
            <w:shd w:val="clear" w:color="auto" w:fill="auto"/>
            <w:vAlign w:val="center"/>
          </w:tcPr>
          <w:p w14:paraId="7DAA806F" w14:textId="77777777" w:rsidR="00856D08" w:rsidRDefault="00856D08" w:rsidP="00FC00FE">
            <w:pPr>
              <w:jc w:val="center"/>
              <w:rPr>
                <w:szCs w:val="21"/>
              </w:rPr>
            </w:pPr>
            <w:r>
              <w:rPr>
                <w:rFonts w:hint="eastAsia"/>
                <w:szCs w:val="21"/>
              </w:rPr>
              <w:t>课堂练习、讨论及课外作业等</w:t>
            </w:r>
          </w:p>
        </w:tc>
      </w:tr>
      <w:tr w:rsidR="00856D08" w14:paraId="21C651AA" w14:textId="77777777" w:rsidTr="00856D08">
        <w:trPr>
          <w:trHeight w:val="454"/>
          <w:tblHeader/>
          <w:jc w:val="center"/>
        </w:trPr>
        <w:tc>
          <w:tcPr>
            <w:tcW w:w="322" w:type="pct"/>
            <w:vMerge/>
            <w:shd w:val="clear" w:color="auto" w:fill="auto"/>
            <w:vAlign w:val="center"/>
          </w:tcPr>
          <w:p w14:paraId="680A12DF" w14:textId="77777777" w:rsidR="00856D08" w:rsidRDefault="00856D08" w:rsidP="00FC00FE">
            <w:pPr>
              <w:jc w:val="left"/>
              <w:rPr>
                <w:szCs w:val="21"/>
              </w:rPr>
            </w:pPr>
          </w:p>
        </w:tc>
        <w:tc>
          <w:tcPr>
            <w:tcW w:w="680" w:type="pct"/>
            <w:vMerge/>
            <w:shd w:val="clear" w:color="auto" w:fill="auto"/>
            <w:vAlign w:val="center"/>
          </w:tcPr>
          <w:p w14:paraId="6582E6E7" w14:textId="77777777" w:rsidR="00856D08" w:rsidRDefault="00856D08" w:rsidP="00FC00FE">
            <w:pPr>
              <w:jc w:val="left"/>
              <w:rPr>
                <w:szCs w:val="21"/>
              </w:rPr>
            </w:pPr>
          </w:p>
        </w:tc>
        <w:tc>
          <w:tcPr>
            <w:tcW w:w="342" w:type="pct"/>
            <w:shd w:val="clear" w:color="auto" w:fill="auto"/>
            <w:vAlign w:val="center"/>
          </w:tcPr>
          <w:p w14:paraId="69E1095A" w14:textId="77777777" w:rsidR="00856D08" w:rsidRDefault="00856D08" w:rsidP="00FC00FE">
            <w:pPr>
              <w:jc w:val="center"/>
              <w:rPr>
                <w:szCs w:val="21"/>
              </w:rPr>
            </w:pPr>
            <w:r>
              <w:rPr>
                <w:rFonts w:hint="eastAsia"/>
                <w:szCs w:val="21"/>
              </w:rPr>
              <w:t>时数</w:t>
            </w:r>
          </w:p>
        </w:tc>
        <w:tc>
          <w:tcPr>
            <w:tcW w:w="1782" w:type="pct"/>
            <w:shd w:val="clear" w:color="auto" w:fill="auto"/>
            <w:vAlign w:val="center"/>
          </w:tcPr>
          <w:p w14:paraId="7930AEF0" w14:textId="77777777" w:rsidR="00856D08" w:rsidRDefault="00856D08" w:rsidP="00FC00FE">
            <w:pPr>
              <w:jc w:val="center"/>
              <w:rPr>
                <w:szCs w:val="21"/>
              </w:rPr>
            </w:pPr>
            <w:r>
              <w:rPr>
                <w:rFonts w:hint="eastAsia"/>
                <w:szCs w:val="21"/>
              </w:rPr>
              <w:t>内</w:t>
            </w:r>
            <w:r>
              <w:rPr>
                <w:rFonts w:hint="eastAsia"/>
                <w:szCs w:val="21"/>
              </w:rPr>
              <w:t xml:space="preserve">         </w:t>
            </w:r>
            <w:r>
              <w:rPr>
                <w:rFonts w:hint="eastAsia"/>
                <w:szCs w:val="21"/>
              </w:rPr>
              <w:t>容</w:t>
            </w:r>
          </w:p>
        </w:tc>
        <w:tc>
          <w:tcPr>
            <w:tcW w:w="307" w:type="pct"/>
            <w:shd w:val="clear" w:color="auto" w:fill="auto"/>
            <w:vAlign w:val="center"/>
          </w:tcPr>
          <w:p w14:paraId="5BB426F2" w14:textId="77777777" w:rsidR="00856D08" w:rsidRDefault="00856D08" w:rsidP="00FC00FE">
            <w:pPr>
              <w:jc w:val="center"/>
              <w:rPr>
                <w:szCs w:val="21"/>
              </w:rPr>
            </w:pPr>
            <w:r>
              <w:rPr>
                <w:rFonts w:hint="eastAsia"/>
                <w:szCs w:val="21"/>
              </w:rPr>
              <w:t>时数</w:t>
            </w:r>
          </w:p>
        </w:tc>
        <w:tc>
          <w:tcPr>
            <w:tcW w:w="1568" w:type="pct"/>
            <w:shd w:val="clear" w:color="auto" w:fill="auto"/>
            <w:vAlign w:val="center"/>
          </w:tcPr>
          <w:p w14:paraId="2946F233" w14:textId="77777777" w:rsidR="00856D08" w:rsidRDefault="00856D08" w:rsidP="00FC00FE">
            <w:pPr>
              <w:jc w:val="center"/>
              <w:rPr>
                <w:szCs w:val="21"/>
              </w:rPr>
            </w:pPr>
            <w:r>
              <w:rPr>
                <w:rFonts w:hint="eastAsia"/>
                <w:szCs w:val="21"/>
              </w:rPr>
              <w:t>内</w:t>
            </w:r>
            <w:r>
              <w:rPr>
                <w:rFonts w:hint="eastAsia"/>
                <w:szCs w:val="21"/>
              </w:rPr>
              <w:t xml:space="preserve">           </w:t>
            </w:r>
            <w:r>
              <w:rPr>
                <w:rFonts w:hint="eastAsia"/>
                <w:szCs w:val="21"/>
              </w:rPr>
              <w:t>容</w:t>
            </w:r>
          </w:p>
        </w:tc>
      </w:tr>
      <w:tr w:rsidR="00856D08" w14:paraId="68A17A8A" w14:textId="77777777" w:rsidTr="00856D08">
        <w:trPr>
          <w:trHeight w:val="454"/>
          <w:jc w:val="center"/>
        </w:trPr>
        <w:tc>
          <w:tcPr>
            <w:tcW w:w="322" w:type="pct"/>
            <w:shd w:val="clear" w:color="auto" w:fill="auto"/>
            <w:vAlign w:val="center"/>
          </w:tcPr>
          <w:p w14:paraId="5037B701" w14:textId="77777777" w:rsidR="00856D08" w:rsidRDefault="00856D08" w:rsidP="00FC00FE">
            <w:pPr>
              <w:rPr>
                <w:szCs w:val="21"/>
              </w:rPr>
            </w:pPr>
            <w:r>
              <w:rPr>
                <w:rFonts w:hint="eastAsia"/>
                <w:szCs w:val="21"/>
              </w:rPr>
              <w:t>1</w:t>
            </w:r>
          </w:p>
        </w:tc>
        <w:tc>
          <w:tcPr>
            <w:tcW w:w="680" w:type="pct"/>
            <w:shd w:val="clear" w:color="auto" w:fill="auto"/>
            <w:vAlign w:val="center"/>
          </w:tcPr>
          <w:p w14:paraId="04748FD0" w14:textId="193CF4E2" w:rsidR="00856D08" w:rsidRDefault="00856D08" w:rsidP="00FC00FE">
            <w:pPr>
              <w:rPr>
                <w:szCs w:val="21"/>
              </w:rPr>
            </w:pPr>
            <w:r>
              <w:rPr>
                <w:szCs w:val="21"/>
              </w:rPr>
              <w:t>3</w:t>
            </w:r>
            <w:r>
              <w:rPr>
                <w:rFonts w:hint="eastAsia"/>
                <w:szCs w:val="21"/>
              </w:rPr>
              <w:t>月</w:t>
            </w:r>
            <w:r w:rsidR="00FD6C60">
              <w:rPr>
                <w:szCs w:val="21"/>
              </w:rPr>
              <w:t>6</w:t>
            </w:r>
            <w:r>
              <w:rPr>
                <w:rFonts w:hint="eastAsia"/>
                <w:szCs w:val="21"/>
              </w:rPr>
              <w:t>日</w:t>
            </w:r>
          </w:p>
        </w:tc>
        <w:tc>
          <w:tcPr>
            <w:tcW w:w="342" w:type="pct"/>
            <w:shd w:val="clear" w:color="auto" w:fill="auto"/>
            <w:vAlign w:val="center"/>
          </w:tcPr>
          <w:p w14:paraId="06BDC800" w14:textId="4DC6D7F8" w:rsidR="00856D08" w:rsidRDefault="00DF6984" w:rsidP="00FC00FE">
            <w:pPr>
              <w:rPr>
                <w:szCs w:val="21"/>
              </w:rPr>
            </w:pPr>
            <w:r>
              <w:rPr>
                <w:szCs w:val="21"/>
              </w:rPr>
              <w:t>3</w:t>
            </w:r>
          </w:p>
        </w:tc>
        <w:tc>
          <w:tcPr>
            <w:tcW w:w="1782" w:type="pct"/>
            <w:shd w:val="clear" w:color="auto" w:fill="auto"/>
            <w:vAlign w:val="center"/>
          </w:tcPr>
          <w:p w14:paraId="738A6B60" w14:textId="1F64B7AF" w:rsidR="00856D08" w:rsidRDefault="00F82F01" w:rsidP="00FC00FE">
            <w:pPr>
              <w:rPr>
                <w:szCs w:val="21"/>
              </w:rPr>
            </w:pPr>
            <w:r>
              <w:rPr>
                <w:rFonts w:hint="eastAsia"/>
                <w:szCs w:val="21"/>
              </w:rPr>
              <w:t>绪论</w:t>
            </w:r>
          </w:p>
        </w:tc>
        <w:tc>
          <w:tcPr>
            <w:tcW w:w="307" w:type="pct"/>
            <w:shd w:val="clear" w:color="auto" w:fill="auto"/>
            <w:vAlign w:val="center"/>
          </w:tcPr>
          <w:p w14:paraId="20462AA1" w14:textId="77777777" w:rsidR="00856D08" w:rsidRDefault="00856D08" w:rsidP="00FC00FE">
            <w:pPr>
              <w:rPr>
                <w:szCs w:val="21"/>
              </w:rPr>
            </w:pPr>
          </w:p>
        </w:tc>
        <w:tc>
          <w:tcPr>
            <w:tcW w:w="1568" w:type="pct"/>
            <w:shd w:val="clear" w:color="auto" w:fill="auto"/>
            <w:vAlign w:val="center"/>
          </w:tcPr>
          <w:p w14:paraId="3EDE1391" w14:textId="77777777" w:rsidR="00856D08" w:rsidRDefault="00856D08" w:rsidP="00FC00FE">
            <w:pPr>
              <w:rPr>
                <w:szCs w:val="21"/>
              </w:rPr>
            </w:pPr>
          </w:p>
        </w:tc>
      </w:tr>
      <w:tr w:rsidR="00856D08" w14:paraId="2BFD2712" w14:textId="77777777" w:rsidTr="00856D08">
        <w:trPr>
          <w:trHeight w:val="454"/>
          <w:jc w:val="center"/>
        </w:trPr>
        <w:tc>
          <w:tcPr>
            <w:tcW w:w="322" w:type="pct"/>
            <w:shd w:val="clear" w:color="auto" w:fill="auto"/>
            <w:vAlign w:val="center"/>
          </w:tcPr>
          <w:p w14:paraId="15E6EA4F" w14:textId="77777777" w:rsidR="00856D08" w:rsidRDefault="00856D08" w:rsidP="00FC00FE">
            <w:pPr>
              <w:rPr>
                <w:szCs w:val="21"/>
              </w:rPr>
            </w:pPr>
            <w:r>
              <w:rPr>
                <w:rFonts w:hint="eastAsia"/>
                <w:szCs w:val="21"/>
              </w:rPr>
              <w:t>2</w:t>
            </w:r>
          </w:p>
        </w:tc>
        <w:tc>
          <w:tcPr>
            <w:tcW w:w="680" w:type="pct"/>
            <w:shd w:val="clear" w:color="auto" w:fill="auto"/>
            <w:vAlign w:val="center"/>
          </w:tcPr>
          <w:p w14:paraId="56B79AEF" w14:textId="6FE061FE" w:rsidR="00856D08" w:rsidRDefault="00856D08" w:rsidP="00FC00FE">
            <w:pPr>
              <w:rPr>
                <w:szCs w:val="21"/>
              </w:rPr>
            </w:pPr>
            <w:r>
              <w:rPr>
                <w:szCs w:val="21"/>
              </w:rPr>
              <w:t>3</w:t>
            </w:r>
            <w:r>
              <w:rPr>
                <w:rFonts w:hint="eastAsia"/>
                <w:szCs w:val="21"/>
              </w:rPr>
              <w:t>月</w:t>
            </w:r>
            <w:r w:rsidR="00FD6C60">
              <w:rPr>
                <w:szCs w:val="21"/>
              </w:rPr>
              <w:t>13</w:t>
            </w:r>
            <w:r>
              <w:rPr>
                <w:rFonts w:hint="eastAsia"/>
                <w:szCs w:val="21"/>
              </w:rPr>
              <w:t>日</w:t>
            </w:r>
          </w:p>
        </w:tc>
        <w:tc>
          <w:tcPr>
            <w:tcW w:w="342" w:type="pct"/>
            <w:shd w:val="clear" w:color="auto" w:fill="auto"/>
            <w:vAlign w:val="center"/>
          </w:tcPr>
          <w:p w14:paraId="5CBFB28A" w14:textId="2DFB3BC4" w:rsidR="00856D08" w:rsidRDefault="00DF6984" w:rsidP="00FC00FE">
            <w:pPr>
              <w:rPr>
                <w:szCs w:val="21"/>
              </w:rPr>
            </w:pPr>
            <w:r>
              <w:rPr>
                <w:rFonts w:hint="eastAsia"/>
                <w:szCs w:val="21"/>
              </w:rPr>
              <w:t>3</w:t>
            </w:r>
          </w:p>
        </w:tc>
        <w:tc>
          <w:tcPr>
            <w:tcW w:w="1782" w:type="pct"/>
            <w:shd w:val="clear" w:color="auto" w:fill="auto"/>
            <w:vAlign w:val="center"/>
          </w:tcPr>
          <w:p w14:paraId="1C16D86D" w14:textId="0BF09C6D" w:rsidR="00856D08" w:rsidRDefault="00F82F01" w:rsidP="00FC00FE">
            <w:pPr>
              <w:rPr>
                <w:szCs w:val="21"/>
              </w:rPr>
            </w:pPr>
            <w:r>
              <w:rPr>
                <w:rFonts w:hint="eastAsia"/>
                <w:szCs w:val="21"/>
              </w:rPr>
              <w:t>不动产价值评估</w:t>
            </w:r>
            <w:r w:rsidR="001636D4">
              <w:rPr>
                <w:rFonts w:hint="eastAsia"/>
                <w:szCs w:val="21"/>
              </w:rPr>
              <w:t>的应用</w:t>
            </w:r>
          </w:p>
        </w:tc>
        <w:tc>
          <w:tcPr>
            <w:tcW w:w="307" w:type="pct"/>
            <w:shd w:val="clear" w:color="auto" w:fill="auto"/>
            <w:vAlign w:val="center"/>
          </w:tcPr>
          <w:p w14:paraId="33799621" w14:textId="77777777" w:rsidR="00856D08" w:rsidRDefault="00856D08" w:rsidP="00FC00FE">
            <w:pPr>
              <w:rPr>
                <w:szCs w:val="21"/>
              </w:rPr>
            </w:pPr>
          </w:p>
        </w:tc>
        <w:tc>
          <w:tcPr>
            <w:tcW w:w="1568" w:type="pct"/>
            <w:shd w:val="clear" w:color="auto" w:fill="auto"/>
            <w:vAlign w:val="center"/>
          </w:tcPr>
          <w:p w14:paraId="5A81433B" w14:textId="77777777" w:rsidR="00856D08" w:rsidRDefault="00856D08" w:rsidP="00FC00FE">
            <w:pPr>
              <w:rPr>
                <w:szCs w:val="21"/>
              </w:rPr>
            </w:pPr>
          </w:p>
        </w:tc>
      </w:tr>
      <w:tr w:rsidR="00856D08" w14:paraId="0EA2F75C" w14:textId="77777777" w:rsidTr="00856D08">
        <w:trPr>
          <w:trHeight w:val="454"/>
          <w:jc w:val="center"/>
        </w:trPr>
        <w:tc>
          <w:tcPr>
            <w:tcW w:w="322" w:type="pct"/>
            <w:shd w:val="clear" w:color="auto" w:fill="auto"/>
            <w:vAlign w:val="center"/>
          </w:tcPr>
          <w:p w14:paraId="29D0A1F3" w14:textId="77777777" w:rsidR="00856D08" w:rsidRDefault="00856D08" w:rsidP="00FC00FE">
            <w:pPr>
              <w:rPr>
                <w:szCs w:val="21"/>
              </w:rPr>
            </w:pPr>
            <w:r>
              <w:rPr>
                <w:rFonts w:hint="eastAsia"/>
                <w:szCs w:val="21"/>
              </w:rPr>
              <w:t>3</w:t>
            </w:r>
          </w:p>
        </w:tc>
        <w:tc>
          <w:tcPr>
            <w:tcW w:w="680" w:type="pct"/>
            <w:shd w:val="clear" w:color="auto" w:fill="auto"/>
            <w:vAlign w:val="center"/>
          </w:tcPr>
          <w:p w14:paraId="43E1BAE6" w14:textId="56053DE3" w:rsidR="00856D08" w:rsidRDefault="00856D08" w:rsidP="00FC00FE">
            <w:pPr>
              <w:rPr>
                <w:szCs w:val="21"/>
              </w:rPr>
            </w:pPr>
            <w:r>
              <w:rPr>
                <w:szCs w:val="21"/>
              </w:rPr>
              <w:t>3</w:t>
            </w:r>
            <w:r>
              <w:rPr>
                <w:rFonts w:hint="eastAsia"/>
                <w:szCs w:val="21"/>
              </w:rPr>
              <w:t>月</w:t>
            </w:r>
            <w:r w:rsidR="00FD6C60">
              <w:rPr>
                <w:szCs w:val="21"/>
              </w:rPr>
              <w:t>20</w:t>
            </w:r>
            <w:r>
              <w:rPr>
                <w:rFonts w:hint="eastAsia"/>
                <w:szCs w:val="21"/>
              </w:rPr>
              <w:t>日</w:t>
            </w:r>
          </w:p>
        </w:tc>
        <w:tc>
          <w:tcPr>
            <w:tcW w:w="342" w:type="pct"/>
            <w:shd w:val="clear" w:color="auto" w:fill="auto"/>
            <w:vAlign w:val="center"/>
          </w:tcPr>
          <w:p w14:paraId="45CBD84E" w14:textId="57A2E00E" w:rsidR="00856D08" w:rsidRDefault="00DF6984" w:rsidP="00FC00FE">
            <w:pPr>
              <w:rPr>
                <w:szCs w:val="21"/>
              </w:rPr>
            </w:pPr>
            <w:r>
              <w:rPr>
                <w:rFonts w:hint="eastAsia"/>
                <w:szCs w:val="21"/>
              </w:rPr>
              <w:t>3</w:t>
            </w:r>
          </w:p>
        </w:tc>
        <w:tc>
          <w:tcPr>
            <w:tcW w:w="1782" w:type="pct"/>
            <w:shd w:val="clear" w:color="auto" w:fill="auto"/>
            <w:vAlign w:val="center"/>
          </w:tcPr>
          <w:p w14:paraId="0A71705C" w14:textId="4DA9903E" w:rsidR="00856D08" w:rsidRDefault="001636D4" w:rsidP="00FC00FE">
            <w:pPr>
              <w:rPr>
                <w:szCs w:val="21"/>
              </w:rPr>
            </w:pPr>
            <w:r>
              <w:rPr>
                <w:rFonts w:hint="eastAsia"/>
                <w:szCs w:val="21"/>
              </w:rPr>
              <w:t>不动产价值评估的发展趋势</w:t>
            </w:r>
          </w:p>
        </w:tc>
        <w:tc>
          <w:tcPr>
            <w:tcW w:w="307" w:type="pct"/>
            <w:shd w:val="clear" w:color="auto" w:fill="auto"/>
            <w:vAlign w:val="center"/>
          </w:tcPr>
          <w:p w14:paraId="3CF03690" w14:textId="77777777" w:rsidR="00856D08" w:rsidRDefault="00856D08" w:rsidP="00FC00FE">
            <w:pPr>
              <w:rPr>
                <w:szCs w:val="21"/>
              </w:rPr>
            </w:pPr>
          </w:p>
        </w:tc>
        <w:tc>
          <w:tcPr>
            <w:tcW w:w="1568" w:type="pct"/>
            <w:shd w:val="clear" w:color="auto" w:fill="auto"/>
            <w:vAlign w:val="center"/>
          </w:tcPr>
          <w:p w14:paraId="666A148B" w14:textId="77777777" w:rsidR="00856D08" w:rsidRDefault="00856D08" w:rsidP="00FC00FE">
            <w:pPr>
              <w:rPr>
                <w:szCs w:val="21"/>
              </w:rPr>
            </w:pPr>
          </w:p>
        </w:tc>
      </w:tr>
      <w:tr w:rsidR="00856D08" w14:paraId="6F7D2A82" w14:textId="77777777" w:rsidTr="00856D08">
        <w:trPr>
          <w:trHeight w:val="454"/>
          <w:jc w:val="center"/>
        </w:trPr>
        <w:tc>
          <w:tcPr>
            <w:tcW w:w="322" w:type="pct"/>
            <w:shd w:val="clear" w:color="auto" w:fill="auto"/>
            <w:vAlign w:val="center"/>
          </w:tcPr>
          <w:p w14:paraId="1CF83640" w14:textId="77777777" w:rsidR="00856D08" w:rsidRDefault="00856D08" w:rsidP="00FC00FE">
            <w:pPr>
              <w:rPr>
                <w:szCs w:val="21"/>
              </w:rPr>
            </w:pPr>
            <w:r>
              <w:rPr>
                <w:rFonts w:hint="eastAsia"/>
                <w:szCs w:val="21"/>
              </w:rPr>
              <w:t>4</w:t>
            </w:r>
          </w:p>
        </w:tc>
        <w:tc>
          <w:tcPr>
            <w:tcW w:w="680" w:type="pct"/>
            <w:shd w:val="clear" w:color="auto" w:fill="auto"/>
            <w:vAlign w:val="center"/>
          </w:tcPr>
          <w:p w14:paraId="79460712" w14:textId="5BB78751" w:rsidR="00856D08" w:rsidRDefault="00856D08" w:rsidP="00FC00FE">
            <w:pPr>
              <w:rPr>
                <w:szCs w:val="21"/>
              </w:rPr>
            </w:pPr>
            <w:r>
              <w:rPr>
                <w:szCs w:val="21"/>
              </w:rPr>
              <w:t>3</w:t>
            </w:r>
            <w:r>
              <w:rPr>
                <w:rFonts w:hint="eastAsia"/>
                <w:szCs w:val="21"/>
              </w:rPr>
              <w:t>月</w:t>
            </w:r>
            <w:r>
              <w:rPr>
                <w:rFonts w:hint="eastAsia"/>
                <w:szCs w:val="21"/>
              </w:rPr>
              <w:t>2</w:t>
            </w:r>
            <w:r w:rsidR="00FD6C60">
              <w:rPr>
                <w:szCs w:val="21"/>
              </w:rPr>
              <w:t>7</w:t>
            </w:r>
            <w:r>
              <w:rPr>
                <w:rFonts w:hint="eastAsia"/>
                <w:szCs w:val="21"/>
              </w:rPr>
              <w:t>日</w:t>
            </w:r>
          </w:p>
        </w:tc>
        <w:tc>
          <w:tcPr>
            <w:tcW w:w="342" w:type="pct"/>
            <w:shd w:val="clear" w:color="auto" w:fill="auto"/>
            <w:vAlign w:val="center"/>
          </w:tcPr>
          <w:p w14:paraId="0E8A24DE" w14:textId="57952B35" w:rsidR="00856D08" w:rsidRDefault="00DF6984" w:rsidP="00FC00FE">
            <w:pPr>
              <w:rPr>
                <w:szCs w:val="21"/>
              </w:rPr>
            </w:pPr>
            <w:r>
              <w:rPr>
                <w:rFonts w:hint="eastAsia"/>
                <w:szCs w:val="21"/>
              </w:rPr>
              <w:t>3</w:t>
            </w:r>
          </w:p>
        </w:tc>
        <w:tc>
          <w:tcPr>
            <w:tcW w:w="1782" w:type="pct"/>
            <w:shd w:val="clear" w:color="auto" w:fill="auto"/>
            <w:vAlign w:val="center"/>
          </w:tcPr>
          <w:p w14:paraId="15302EFE" w14:textId="77777777" w:rsidR="00856D08" w:rsidRDefault="001636D4" w:rsidP="00FC00FE">
            <w:pPr>
              <w:rPr>
                <w:szCs w:val="21"/>
              </w:rPr>
            </w:pPr>
            <w:r>
              <w:rPr>
                <w:rFonts w:hint="eastAsia"/>
                <w:szCs w:val="21"/>
              </w:rPr>
              <w:t>马克思主义劳动价值论</w:t>
            </w:r>
          </w:p>
          <w:p w14:paraId="64B51EB4" w14:textId="66F5C5EF" w:rsidR="001636D4" w:rsidRDefault="001636D4" w:rsidP="00FC00FE">
            <w:pPr>
              <w:rPr>
                <w:szCs w:val="21"/>
              </w:rPr>
            </w:pPr>
            <w:r>
              <w:rPr>
                <w:rFonts w:hint="eastAsia"/>
                <w:szCs w:val="21"/>
              </w:rPr>
              <w:t>均衡理论与价格理论</w:t>
            </w:r>
          </w:p>
        </w:tc>
        <w:tc>
          <w:tcPr>
            <w:tcW w:w="307" w:type="pct"/>
            <w:shd w:val="clear" w:color="auto" w:fill="auto"/>
            <w:vAlign w:val="center"/>
          </w:tcPr>
          <w:p w14:paraId="1367D93A" w14:textId="77777777" w:rsidR="00856D08" w:rsidRDefault="00856D08" w:rsidP="00FC00FE">
            <w:pPr>
              <w:rPr>
                <w:szCs w:val="21"/>
              </w:rPr>
            </w:pPr>
          </w:p>
        </w:tc>
        <w:tc>
          <w:tcPr>
            <w:tcW w:w="1568" w:type="pct"/>
            <w:shd w:val="clear" w:color="auto" w:fill="auto"/>
            <w:vAlign w:val="center"/>
          </w:tcPr>
          <w:p w14:paraId="120546E3" w14:textId="77777777" w:rsidR="00856D08" w:rsidRDefault="00856D08" w:rsidP="00FC00FE">
            <w:pPr>
              <w:rPr>
                <w:szCs w:val="21"/>
              </w:rPr>
            </w:pPr>
          </w:p>
        </w:tc>
      </w:tr>
      <w:tr w:rsidR="00856D08" w14:paraId="5A8C2064" w14:textId="77777777" w:rsidTr="00856D08">
        <w:trPr>
          <w:trHeight w:val="454"/>
          <w:jc w:val="center"/>
        </w:trPr>
        <w:tc>
          <w:tcPr>
            <w:tcW w:w="322" w:type="pct"/>
            <w:shd w:val="clear" w:color="auto" w:fill="auto"/>
            <w:vAlign w:val="center"/>
          </w:tcPr>
          <w:p w14:paraId="2FD4B856" w14:textId="77777777" w:rsidR="00856D08" w:rsidRDefault="00856D08" w:rsidP="00FC00FE">
            <w:pPr>
              <w:rPr>
                <w:szCs w:val="21"/>
              </w:rPr>
            </w:pPr>
            <w:r>
              <w:rPr>
                <w:rFonts w:hint="eastAsia"/>
                <w:szCs w:val="21"/>
              </w:rPr>
              <w:t>5</w:t>
            </w:r>
          </w:p>
        </w:tc>
        <w:tc>
          <w:tcPr>
            <w:tcW w:w="680" w:type="pct"/>
            <w:shd w:val="clear" w:color="auto" w:fill="auto"/>
            <w:vAlign w:val="center"/>
          </w:tcPr>
          <w:p w14:paraId="0EB07F81" w14:textId="0313AB9E" w:rsidR="00856D08" w:rsidRDefault="00FD6C60" w:rsidP="00FC00FE">
            <w:pPr>
              <w:rPr>
                <w:szCs w:val="21"/>
              </w:rPr>
            </w:pPr>
            <w:r>
              <w:rPr>
                <w:szCs w:val="21"/>
              </w:rPr>
              <w:t>4</w:t>
            </w:r>
            <w:r w:rsidR="00856D08">
              <w:rPr>
                <w:rFonts w:hint="eastAsia"/>
                <w:szCs w:val="21"/>
              </w:rPr>
              <w:t>月</w:t>
            </w:r>
            <w:r w:rsidR="00856D08">
              <w:rPr>
                <w:szCs w:val="21"/>
              </w:rPr>
              <w:t>3</w:t>
            </w:r>
            <w:r w:rsidR="00856D08">
              <w:rPr>
                <w:rFonts w:hint="eastAsia"/>
                <w:szCs w:val="21"/>
              </w:rPr>
              <w:t>日</w:t>
            </w:r>
          </w:p>
        </w:tc>
        <w:tc>
          <w:tcPr>
            <w:tcW w:w="342" w:type="pct"/>
            <w:shd w:val="clear" w:color="auto" w:fill="auto"/>
            <w:vAlign w:val="center"/>
          </w:tcPr>
          <w:p w14:paraId="24183D8C" w14:textId="45961004" w:rsidR="00856D08" w:rsidRDefault="00DF6984" w:rsidP="00FC00FE">
            <w:pPr>
              <w:rPr>
                <w:szCs w:val="21"/>
              </w:rPr>
            </w:pPr>
            <w:r>
              <w:rPr>
                <w:szCs w:val="21"/>
              </w:rPr>
              <w:t>3</w:t>
            </w:r>
          </w:p>
        </w:tc>
        <w:tc>
          <w:tcPr>
            <w:tcW w:w="1782" w:type="pct"/>
            <w:shd w:val="clear" w:color="auto" w:fill="auto"/>
            <w:vAlign w:val="center"/>
          </w:tcPr>
          <w:p w14:paraId="3189FB60" w14:textId="77777777" w:rsidR="00856D08" w:rsidRDefault="001636D4" w:rsidP="00FC00FE">
            <w:pPr>
              <w:rPr>
                <w:szCs w:val="21"/>
              </w:rPr>
            </w:pPr>
            <w:r>
              <w:rPr>
                <w:rFonts w:hint="eastAsia"/>
                <w:szCs w:val="21"/>
              </w:rPr>
              <w:t>地租理论与区位理论</w:t>
            </w:r>
          </w:p>
          <w:p w14:paraId="50FDFADA" w14:textId="2B9D9DCF" w:rsidR="001636D4" w:rsidRDefault="001636D4" w:rsidP="00FC00FE">
            <w:pPr>
              <w:rPr>
                <w:szCs w:val="21"/>
              </w:rPr>
            </w:pPr>
            <w:r>
              <w:rPr>
                <w:rFonts w:hint="eastAsia"/>
                <w:szCs w:val="21"/>
              </w:rPr>
              <w:t>周期理论与外部性理论</w:t>
            </w:r>
          </w:p>
        </w:tc>
        <w:tc>
          <w:tcPr>
            <w:tcW w:w="307" w:type="pct"/>
            <w:shd w:val="clear" w:color="auto" w:fill="auto"/>
            <w:vAlign w:val="center"/>
          </w:tcPr>
          <w:p w14:paraId="3A8D529D" w14:textId="77777777" w:rsidR="00856D08" w:rsidRDefault="00856D08" w:rsidP="00FC00FE">
            <w:pPr>
              <w:rPr>
                <w:szCs w:val="21"/>
              </w:rPr>
            </w:pPr>
          </w:p>
        </w:tc>
        <w:tc>
          <w:tcPr>
            <w:tcW w:w="1568" w:type="pct"/>
            <w:shd w:val="clear" w:color="auto" w:fill="auto"/>
            <w:vAlign w:val="center"/>
          </w:tcPr>
          <w:p w14:paraId="5AA72D92" w14:textId="77777777" w:rsidR="00856D08" w:rsidRDefault="00856D08" w:rsidP="00FC00FE">
            <w:pPr>
              <w:rPr>
                <w:szCs w:val="21"/>
              </w:rPr>
            </w:pPr>
          </w:p>
        </w:tc>
      </w:tr>
      <w:tr w:rsidR="00856D08" w14:paraId="30BB0888" w14:textId="77777777" w:rsidTr="00856D08">
        <w:trPr>
          <w:trHeight w:val="454"/>
          <w:jc w:val="center"/>
        </w:trPr>
        <w:tc>
          <w:tcPr>
            <w:tcW w:w="322" w:type="pct"/>
            <w:shd w:val="clear" w:color="auto" w:fill="auto"/>
            <w:vAlign w:val="center"/>
          </w:tcPr>
          <w:p w14:paraId="4CC37AD0" w14:textId="77777777" w:rsidR="00856D08" w:rsidRDefault="00856D08" w:rsidP="00FC00FE">
            <w:pPr>
              <w:rPr>
                <w:szCs w:val="21"/>
              </w:rPr>
            </w:pPr>
            <w:r>
              <w:rPr>
                <w:rFonts w:hint="eastAsia"/>
                <w:szCs w:val="21"/>
              </w:rPr>
              <w:t>6</w:t>
            </w:r>
          </w:p>
        </w:tc>
        <w:tc>
          <w:tcPr>
            <w:tcW w:w="680" w:type="pct"/>
            <w:shd w:val="clear" w:color="auto" w:fill="auto"/>
            <w:vAlign w:val="center"/>
          </w:tcPr>
          <w:p w14:paraId="024B5947" w14:textId="50D7A86C" w:rsidR="00856D08" w:rsidRDefault="00856D08" w:rsidP="00FC00FE">
            <w:pPr>
              <w:rPr>
                <w:szCs w:val="21"/>
              </w:rPr>
            </w:pPr>
            <w:r>
              <w:rPr>
                <w:szCs w:val="21"/>
              </w:rPr>
              <w:t>4</w:t>
            </w:r>
            <w:r>
              <w:rPr>
                <w:rFonts w:hint="eastAsia"/>
                <w:szCs w:val="21"/>
              </w:rPr>
              <w:t>月</w:t>
            </w:r>
            <w:r w:rsidR="00FD6C60">
              <w:rPr>
                <w:szCs w:val="21"/>
              </w:rPr>
              <w:t>10</w:t>
            </w:r>
            <w:r>
              <w:rPr>
                <w:rFonts w:hint="eastAsia"/>
                <w:szCs w:val="21"/>
              </w:rPr>
              <w:t>日</w:t>
            </w:r>
          </w:p>
        </w:tc>
        <w:tc>
          <w:tcPr>
            <w:tcW w:w="342" w:type="pct"/>
            <w:shd w:val="clear" w:color="auto" w:fill="auto"/>
            <w:vAlign w:val="center"/>
          </w:tcPr>
          <w:p w14:paraId="1FACB8DC" w14:textId="498FF2DA" w:rsidR="00856D08" w:rsidRDefault="00DF6984" w:rsidP="00FC00FE">
            <w:pPr>
              <w:rPr>
                <w:szCs w:val="21"/>
              </w:rPr>
            </w:pPr>
            <w:r>
              <w:rPr>
                <w:szCs w:val="21"/>
              </w:rPr>
              <w:t>3</w:t>
            </w:r>
          </w:p>
        </w:tc>
        <w:tc>
          <w:tcPr>
            <w:tcW w:w="1782" w:type="pct"/>
            <w:shd w:val="clear" w:color="auto" w:fill="auto"/>
            <w:vAlign w:val="center"/>
          </w:tcPr>
          <w:p w14:paraId="403C8F04" w14:textId="64A9BD60" w:rsidR="00856D08" w:rsidRDefault="001636D4" w:rsidP="00FC00FE">
            <w:pPr>
              <w:rPr>
                <w:szCs w:val="21"/>
              </w:rPr>
            </w:pPr>
            <w:r>
              <w:rPr>
                <w:rFonts w:hint="eastAsia"/>
                <w:szCs w:val="21"/>
              </w:rPr>
              <w:t>成本导向的估价方法</w:t>
            </w:r>
          </w:p>
        </w:tc>
        <w:tc>
          <w:tcPr>
            <w:tcW w:w="307" w:type="pct"/>
            <w:shd w:val="clear" w:color="auto" w:fill="auto"/>
            <w:vAlign w:val="center"/>
          </w:tcPr>
          <w:p w14:paraId="6E4754AE" w14:textId="2B3544E5" w:rsidR="00856D08" w:rsidRDefault="00856D08" w:rsidP="00FC00FE">
            <w:pPr>
              <w:rPr>
                <w:szCs w:val="21"/>
              </w:rPr>
            </w:pPr>
          </w:p>
        </w:tc>
        <w:tc>
          <w:tcPr>
            <w:tcW w:w="1568" w:type="pct"/>
            <w:shd w:val="clear" w:color="auto" w:fill="auto"/>
            <w:vAlign w:val="center"/>
          </w:tcPr>
          <w:p w14:paraId="41889B4F" w14:textId="604AA8A9" w:rsidR="00856D08" w:rsidRDefault="00856D08" w:rsidP="00FC00FE">
            <w:pPr>
              <w:rPr>
                <w:szCs w:val="21"/>
              </w:rPr>
            </w:pPr>
          </w:p>
        </w:tc>
      </w:tr>
      <w:tr w:rsidR="00856D08" w14:paraId="1C7BC893" w14:textId="77777777" w:rsidTr="00856D08">
        <w:trPr>
          <w:trHeight w:val="454"/>
          <w:jc w:val="center"/>
        </w:trPr>
        <w:tc>
          <w:tcPr>
            <w:tcW w:w="322" w:type="pct"/>
            <w:shd w:val="clear" w:color="auto" w:fill="auto"/>
            <w:vAlign w:val="center"/>
          </w:tcPr>
          <w:p w14:paraId="1243134A" w14:textId="77777777" w:rsidR="00856D08" w:rsidRDefault="00856D08" w:rsidP="00FC00FE">
            <w:pPr>
              <w:rPr>
                <w:szCs w:val="21"/>
              </w:rPr>
            </w:pPr>
            <w:r>
              <w:rPr>
                <w:rFonts w:hint="eastAsia"/>
                <w:szCs w:val="21"/>
              </w:rPr>
              <w:t>7</w:t>
            </w:r>
          </w:p>
        </w:tc>
        <w:tc>
          <w:tcPr>
            <w:tcW w:w="680" w:type="pct"/>
            <w:shd w:val="clear" w:color="auto" w:fill="auto"/>
            <w:vAlign w:val="center"/>
          </w:tcPr>
          <w:p w14:paraId="3247B51B" w14:textId="4F1E571D" w:rsidR="00856D08" w:rsidRDefault="00856D08" w:rsidP="00FC00FE">
            <w:pPr>
              <w:rPr>
                <w:szCs w:val="21"/>
              </w:rPr>
            </w:pPr>
            <w:r>
              <w:rPr>
                <w:rFonts w:hint="eastAsia"/>
                <w:szCs w:val="21"/>
              </w:rPr>
              <w:t>4</w:t>
            </w:r>
            <w:r>
              <w:rPr>
                <w:rFonts w:hint="eastAsia"/>
                <w:szCs w:val="21"/>
              </w:rPr>
              <w:t>月</w:t>
            </w:r>
            <w:r>
              <w:rPr>
                <w:rFonts w:hint="eastAsia"/>
                <w:szCs w:val="21"/>
              </w:rPr>
              <w:t>1</w:t>
            </w:r>
            <w:r w:rsidR="00FD6C60">
              <w:rPr>
                <w:szCs w:val="21"/>
              </w:rPr>
              <w:t>7</w:t>
            </w:r>
            <w:r>
              <w:rPr>
                <w:rFonts w:hint="eastAsia"/>
                <w:szCs w:val="21"/>
              </w:rPr>
              <w:t>日</w:t>
            </w:r>
          </w:p>
        </w:tc>
        <w:tc>
          <w:tcPr>
            <w:tcW w:w="342" w:type="pct"/>
            <w:shd w:val="clear" w:color="auto" w:fill="auto"/>
            <w:vAlign w:val="center"/>
          </w:tcPr>
          <w:p w14:paraId="03FBA1A2" w14:textId="5077CFCA" w:rsidR="00856D08" w:rsidRDefault="00DF6984" w:rsidP="00FC00FE">
            <w:pPr>
              <w:rPr>
                <w:szCs w:val="21"/>
              </w:rPr>
            </w:pPr>
            <w:r>
              <w:rPr>
                <w:szCs w:val="21"/>
              </w:rPr>
              <w:t>3</w:t>
            </w:r>
          </w:p>
        </w:tc>
        <w:tc>
          <w:tcPr>
            <w:tcW w:w="1782" w:type="pct"/>
            <w:shd w:val="clear" w:color="auto" w:fill="auto"/>
            <w:vAlign w:val="center"/>
          </w:tcPr>
          <w:p w14:paraId="677468A4" w14:textId="788EF9C8" w:rsidR="00856D08" w:rsidRDefault="001636D4" w:rsidP="00FC00FE">
            <w:pPr>
              <w:rPr>
                <w:szCs w:val="21"/>
              </w:rPr>
            </w:pPr>
            <w:r>
              <w:rPr>
                <w:rFonts w:hint="eastAsia"/>
                <w:szCs w:val="21"/>
              </w:rPr>
              <w:t>竞争导向的估价方法</w:t>
            </w:r>
          </w:p>
        </w:tc>
        <w:tc>
          <w:tcPr>
            <w:tcW w:w="307" w:type="pct"/>
            <w:shd w:val="clear" w:color="auto" w:fill="auto"/>
            <w:vAlign w:val="center"/>
          </w:tcPr>
          <w:p w14:paraId="77DF3C88" w14:textId="77777777" w:rsidR="00856D08" w:rsidRDefault="00856D08" w:rsidP="00FC00FE">
            <w:pPr>
              <w:rPr>
                <w:szCs w:val="21"/>
              </w:rPr>
            </w:pPr>
          </w:p>
        </w:tc>
        <w:tc>
          <w:tcPr>
            <w:tcW w:w="1568" w:type="pct"/>
            <w:shd w:val="clear" w:color="auto" w:fill="auto"/>
            <w:vAlign w:val="center"/>
          </w:tcPr>
          <w:p w14:paraId="4A222F42" w14:textId="77777777" w:rsidR="00856D08" w:rsidRDefault="00856D08" w:rsidP="00FC00FE">
            <w:pPr>
              <w:rPr>
                <w:szCs w:val="21"/>
              </w:rPr>
            </w:pPr>
          </w:p>
        </w:tc>
      </w:tr>
      <w:tr w:rsidR="00856D08" w14:paraId="3FD7B21B" w14:textId="77777777" w:rsidTr="00856D08">
        <w:trPr>
          <w:trHeight w:val="454"/>
          <w:jc w:val="center"/>
        </w:trPr>
        <w:tc>
          <w:tcPr>
            <w:tcW w:w="322" w:type="pct"/>
            <w:shd w:val="clear" w:color="auto" w:fill="auto"/>
            <w:vAlign w:val="center"/>
          </w:tcPr>
          <w:p w14:paraId="53CA81D3" w14:textId="77777777" w:rsidR="00856D08" w:rsidRDefault="00856D08" w:rsidP="00FC00FE">
            <w:pPr>
              <w:rPr>
                <w:szCs w:val="21"/>
              </w:rPr>
            </w:pPr>
            <w:r>
              <w:rPr>
                <w:rFonts w:hint="eastAsia"/>
                <w:szCs w:val="21"/>
              </w:rPr>
              <w:t>8</w:t>
            </w:r>
          </w:p>
        </w:tc>
        <w:tc>
          <w:tcPr>
            <w:tcW w:w="680" w:type="pct"/>
            <w:shd w:val="clear" w:color="auto" w:fill="auto"/>
            <w:vAlign w:val="center"/>
          </w:tcPr>
          <w:p w14:paraId="1AE34E00" w14:textId="6BFBEBBC" w:rsidR="00856D08" w:rsidRDefault="00856D08" w:rsidP="00FC00FE">
            <w:pPr>
              <w:rPr>
                <w:szCs w:val="21"/>
              </w:rPr>
            </w:pPr>
            <w:r>
              <w:rPr>
                <w:rFonts w:hint="eastAsia"/>
                <w:szCs w:val="21"/>
              </w:rPr>
              <w:t>4</w:t>
            </w:r>
            <w:r>
              <w:rPr>
                <w:rFonts w:hint="eastAsia"/>
                <w:szCs w:val="21"/>
              </w:rPr>
              <w:t>月</w:t>
            </w:r>
            <w:r>
              <w:rPr>
                <w:rFonts w:hint="eastAsia"/>
                <w:szCs w:val="21"/>
              </w:rPr>
              <w:t>2</w:t>
            </w:r>
            <w:r w:rsidR="00FD6C60">
              <w:rPr>
                <w:szCs w:val="21"/>
              </w:rPr>
              <w:t>4</w:t>
            </w:r>
            <w:r>
              <w:rPr>
                <w:rFonts w:hint="eastAsia"/>
                <w:szCs w:val="21"/>
              </w:rPr>
              <w:t>日</w:t>
            </w:r>
          </w:p>
        </w:tc>
        <w:tc>
          <w:tcPr>
            <w:tcW w:w="342" w:type="pct"/>
            <w:shd w:val="clear" w:color="auto" w:fill="auto"/>
            <w:vAlign w:val="center"/>
          </w:tcPr>
          <w:p w14:paraId="1D342161" w14:textId="722A32CB" w:rsidR="00856D08" w:rsidRDefault="00DF6984" w:rsidP="00FC00FE">
            <w:pPr>
              <w:rPr>
                <w:szCs w:val="21"/>
              </w:rPr>
            </w:pPr>
            <w:r>
              <w:rPr>
                <w:szCs w:val="21"/>
              </w:rPr>
              <w:t>3</w:t>
            </w:r>
          </w:p>
        </w:tc>
        <w:tc>
          <w:tcPr>
            <w:tcW w:w="1782" w:type="pct"/>
            <w:shd w:val="clear" w:color="auto" w:fill="auto"/>
            <w:vAlign w:val="center"/>
          </w:tcPr>
          <w:p w14:paraId="0C7302CA" w14:textId="5839545C" w:rsidR="00856D08" w:rsidRPr="001C3D5B" w:rsidRDefault="001636D4" w:rsidP="00FC00FE">
            <w:pPr>
              <w:rPr>
                <w:szCs w:val="21"/>
              </w:rPr>
            </w:pPr>
            <w:r>
              <w:rPr>
                <w:rFonts w:hint="eastAsia"/>
                <w:szCs w:val="21"/>
              </w:rPr>
              <w:t>效用趋势导向的估价方法</w:t>
            </w:r>
          </w:p>
        </w:tc>
        <w:tc>
          <w:tcPr>
            <w:tcW w:w="307" w:type="pct"/>
            <w:shd w:val="clear" w:color="auto" w:fill="auto"/>
            <w:vAlign w:val="center"/>
          </w:tcPr>
          <w:p w14:paraId="333EABAB" w14:textId="77777777" w:rsidR="00856D08" w:rsidRDefault="00856D08" w:rsidP="00FC00FE">
            <w:pPr>
              <w:rPr>
                <w:szCs w:val="21"/>
              </w:rPr>
            </w:pPr>
          </w:p>
        </w:tc>
        <w:tc>
          <w:tcPr>
            <w:tcW w:w="1568" w:type="pct"/>
            <w:shd w:val="clear" w:color="auto" w:fill="auto"/>
            <w:vAlign w:val="center"/>
          </w:tcPr>
          <w:p w14:paraId="064C8003" w14:textId="77777777" w:rsidR="00856D08" w:rsidRDefault="00856D08" w:rsidP="00FC00FE">
            <w:pPr>
              <w:rPr>
                <w:szCs w:val="21"/>
              </w:rPr>
            </w:pPr>
          </w:p>
        </w:tc>
      </w:tr>
      <w:tr w:rsidR="00856D08" w14:paraId="4BF59C88" w14:textId="77777777" w:rsidTr="00856D08">
        <w:trPr>
          <w:trHeight w:val="454"/>
          <w:jc w:val="center"/>
        </w:trPr>
        <w:tc>
          <w:tcPr>
            <w:tcW w:w="322" w:type="pct"/>
            <w:shd w:val="clear" w:color="auto" w:fill="auto"/>
            <w:vAlign w:val="center"/>
          </w:tcPr>
          <w:p w14:paraId="50D8866E" w14:textId="77777777" w:rsidR="00856D08" w:rsidRDefault="00856D08" w:rsidP="00FC00FE">
            <w:pPr>
              <w:rPr>
                <w:szCs w:val="21"/>
              </w:rPr>
            </w:pPr>
            <w:r>
              <w:rPr>
                <w:rFonts w:hint="eastAsia"/>
                <w:szCs w:val="21"/>
              </w:rPr>
              <w:t>9</w:t>
            </w:r>
          </w:p>
        </w:tc>
        <w:tc>
          <w:tcPr>
            <w:tcW w:w="680" w:type="pct"/>
            <w:shd w:val="clear" w:color="auto" w:fill="auto"/>
            <w:vAlign w:val="center"/>
          </w:tcPr>
          <w:p w14:paraId="1DAA14E3" w14:textId="220AA976" w:rsidR="00856D08" w:rsidRDefault="00FD6C60" w:rsidP="00FC00FE">
            <w:pPr>
              <w:rPr>
                <w:szCs w:val="21"/>
              </w:rPr>
            </w:pPr>
            <w:r>
              <w:rPr>
                <w:szCs w:val="21"/>
              </w:rPr>
              <w:t>5</w:t>
            </w:r>
            <w:r w:rsidR="00856D08">
              <w:rPr>
                <w:rFonts w:hint="eastAsia"/>
                <w:szCs w:val="21"/>
              </w:rPr>
              <w:t>月</w:t>
            </w:r>
            <w:r>
              <w:rPr>
                <w:szCs w:val="21"/>
              </w:rPr>
              <w:t>1</w:t>
            </w:r>
            <w:r w:rsidR="00856D08">
              <w:rPr>
                <w:rFonts w:hint="eastAsia"/>
                <w:szCs w:val="21"/>
              </w:rPr>
              <w:t>日</w:t>
            </w:r>
          </w:p>
        </w:tc>
        <w:tc>
          <w:tcPr>
            <w:tcW w:w="342" w:type="pct"/>
            <w:shd w:val="clear" w:color="auto" w:fill="auto"/>
            <w:vAlign w:val="center"/>
          </w:tcPr>
          <w:p w14:paraId="20F003A9" w14:textId="6020C68C" w:rsidR="00856D08" w:rsidRDefault="00856D08" w:rsidP="00FC00FE">
            <w:pPr>
              <w:rPr>
                <w:szCs w:val="21"/>
              </w:rPr>
            </w:pPr>
          </w:p>
        </w:tc>
        <w:tc>
          <w:tcPr>
            <w:tcW w:w="1782" w:type="pct"/>
            <w:shd w:val="clear" w:color="auto" w:fill="auto"/>
            <w:vAlign w:val="center"/>
          </w:tcPr>
          <w:p w14:paraId="32C930E7" w14:textId="6B1A548A" w:rsidR="00856D08" w:rsidRDefault="00DF6984" w:rsidP="00FC00FE">
            <w:pPr>
              <w:rPr>
                <w:szCs w:val="21"/>
              </w:rPr>
            </w:pPr>
            <w:r w:rsidRPr="001C3D5B">
              <w:rPr>
                <w:rFonts w:hint="eastAsia"/>
                <w:i/>
                <w:szCs w:val="21"/>
              </w:rPr>
              <w:t>劳动节放假</w:t>
            </w:r>
          </w:p>
        </w:tc>
        <w:tc>
          <w:tcPr>
            <w:tcW w:w="307" w:type="pct"/>
            <w:shd w:val="clear" w:color="auto" w:fill="auto"/>
            <w:vAlign w:val="center"/>
          </w:tcPr>
          <w:p w14:paraId="6B65E4D5" w14:textId="258450E9" w:rsidR="00856D08" w:rsidRPr="001C3D5B" w:rsidRDefault="00856D08" w:rsidP="00FC00FE">
            <w:pPr>
              <w:rPr>
                <w:szCs w:val="21"/>
              </w:rPr>
            </w:pPr>
          </w:p>
        </w:tc>
        <w:tc>
          <w:tcPr>
            <w:tcW w:w="1568" w:type="pct"/>
            <w:shd w:val="clear" w:color="auto" w:fill="auto"/>
            <w:vAlign w:val="center"/>
          </w:tcPr>
          <w:p w14:paraId="3F08B431" w14:textId="6C2A1569" w:rsidR="00856D08" w:rsidRDefault="00856D08" w:rsidP="00FC00FE">
            <w:pPr>
              <w:rPr>
                <w:szCs w:val="21"/>
              </w:rPr>
            </w:pPr>
          </w:p>
        </w:tc>
      </w:tr>
      <w:tr w:rsidR="00856D08" w14:paraId="6DE534C8" w14:textId="77777777" w:rsidTr="00856D08">
        <w:trPr>
          <w:trHeight w:val="454"/>
          <w:jc w:val="center"/>
        </w:trPr>
        <w:tc>
          <w:tcPr>
            <w:tcW w:w="322" w:type="pct"/>
            <w:shd w:val="clear" w:color="auto" w:fill="auto"/>
            <w:vAlign w:val="center"/>
          </w:tcPr>
          <w:p w14:paraId="2882FA5B" w14:textId="77777777" w:rsidR="00856D08" w:rsidRDefault="00856D08" w:rsidP="00FC00FE">
            <w:pPr>
              <w:rPr>
                <w:szCs w:val="21"/>
              </w:rPr>
            </w:pPr>
            <w:r>
              <w:rPr>
                <w:rFonts w:hint="eastAsia"/>
                <w:szCs w:val="21"/>
              </w:rPr>
              <w:t>1</w:t>
            </w:r>
            <w:r>
              <w:rPr>
                <w:szCs w:val="21"/>
              </w:rPr>
              <w:t>0</w:t>
            </w:r>
          </w:p>
        </w:tc>
        <w:tc>
          <w:tcPr>
            <w:tcW w:w="680" w:type="pct"/>
            <w:shd w:val="clear" w:color="auto" w:fill="auto"/>
            <w:vAlign w:val="center"/>
          </w:tcPr>
          <w:p w14:paraId="43CB2C95" w14:textId="2CDDF293" w:rsidR="00856D08" w:rsidRDefault="00856D08" w:rsidP="00FC00FE">
            <w:pPr>
              <w:rPr>
                <w:szCs w:val="21"/>
              </w:rPr>
            </w:pPr>
            <w:r>
              <w:rPr>
                <w:szCs w:val="21"/>
              </w:rPr>
              <w:t>5</w:t>
            </w:r>
            <w:r>
              <w:rPr>
                <w:rFonts w:hint="eastAsia"/>
                <w:szCs w:val="21"/>
              </w:rPr>
              <w:t>月</w:t>
            </w:r>
            <w:r w:rsidR="00FD6C60">
              <w:rPr>
                <w:szCs w:val="21"/>
              </w:rPr>
              <w:t>8</w:t>
            </w:r>
            <w:r>
              <w:rPr>
                <w:rFonts w:hint="eastAsia"/>
                <w:szCs w:val="21"/>
              </w:rPr>
              <w:t>日</w:t>
            </w:r>
          </w:p>
        </w:tc>
        <w:tc>
          <w:tcPr>
            <w:tcW w:w="342" w:type="pct"/>
            <w:shd w:val="clear" w:color="auto" w:fill="auto"/>
            <w:vAlign w:val="center"/>
          </w:tcPr>
          <w:p w14:paraId="647A1A75" w14:textId="57EB7B1F" w:rsidR="00856D08" w:rsidRDefault="00DF6984" w:rsidP="00FC00FE">
            <w:pPr>
              <w:rPr>
                <w:szCs w:val="21"/>
              </w:rPr>
            </w:pPr>
            <w:r>
              <w:rPr>
                <w:rFonts w:hint="eastAsia"/>
                <w:szCs w:val="21"/>
              </w:rPr>
              <w:t>3</w:t>
            </w:r>
          </w:p>
        </w:tc>
        <w:tc>
          <w:tcPr>
            <w:tcW w:w="1782" w:type="pct"/>
            <w:shd w:val="clear" w:color="auto" w:fill="auto"/>
            <w:vAlign w:val="center"/>
          </w:tcPr>
          <w:p w14:paraId="3B55DB89" w14:textId="47AAC979" w:rsidR="00856D08" w:rsidRPr="001636D4" w:rsidRDefault="001636D4" w:rsidP="00FC00FE">
            <w:pPr>
              <w:rPr>
                <w:szCs w:val="21"/>
              </w:rPr>
            </w:pPr>
            <w:r>
              <w:rPr>
                <w:rFonts w:hint="eastAsia"/>
                <w:szCs w:val="21"/>
              </w:rPr>
              <w:t>不动产价值评估准则、职业道德、国际比较</w:t>
            </w:r>
          </w:p>
        </w:tc>
        <w:tc>
          <w:tcPr>
            <w:tcW w:w="307" w:type="pct"/>
            <w:shd w:val="clear" w:color="auto" w:fill="auto"/>
            <w:vAlign w:val="center"/>
          </w:tcPr>
          <w:p w14:paraId="67D3F939" w14:textId="77777777" w:rsidR="00856D08" w:rsidRDefault="00856D08" w:rsidP="00FC00FE">
            <w:pPr>
              <w:rPr>
                <w:szCs w:val="21"/>
              </w:rPr>
            </w:pPr>
          </w:p>
        </w:tc>
        <w:tc>
          <w:tcPr>
            <w:tcW w:w="1568" w:type="pct"/>
            <w:shd w:val="clear" w:color="auto" w:fill="auto"/>
            <w:vAlign w:val="center"/>
          </w:tcPr>
          <w:p w14:paraId="4A0CF379" w14:textId="77777777" w:rsidR="00856D08" w:rsidRDefault="00856D08" w:rsidP="00FC00FE">
            <w:pPr>
              <w:rPr>
                <w:szCs w:val="21"/>
              </w:rPr>
            </w:pPr>
          </w:p>
        </w:tc>
      </w:tr>
      <w:tr w:rsidR="00856D08" w14:paraId="17BACAAF" w14:textId="77777777" w:rsidTr="00856D08">
        <w:trPr>
          <w:trHeight w:val="454"/>
          <w:jc w:val="center"/>
        </w:trPr>
        <w:tc>
          <w:tcPr>
            <w:tcW w:w="322" w:type="pct"/>
            <w:shd w:val="clear" w:color="auto" w:fill="auto"/>
            <w:vAlign w:val="center"/>
          </w:tcPr>
          <w:p w14:paraId="0D26D5F8" w14:textId="77777777" w:rsidR="00856D08" w:rsidRDefault="00856D08" w:rsidP="00FC00FE">
            <w:pPr>
              <w:rPr>
                <w:szCs w:val="21"/>
              </w:rPr>
            </w:pPr>
            <w:r>
              <w:rPr>
                <w:rFonts w:hint="eastAsia"/>
                <w:szCs w:val="21"/>
              </w:rPr>
              <w:t>1</w:t>
            </w:r>
            <w:r>
              <w:rPr>
                <w:szCs w:val="21"/>
              </w:rPr>
              <w:t>1</w:t>
            </w:r>
          </w:p>
        </w:tc>
        <w:tc>
          <w:tcPr>
            <w:tcW w:w="680" w:type="pct"/>
            <w:shd w:val="clear" w:color="auto" w:fill="auto"/>
            <w:vAlign w:val="center"/>
          </w:tcPr>
          <w:p w14:paraId="25EB4192" w14:textId="29346DFF" w:rsidR="00856D08" w:rsidRDefault="00856D08" w:rsidP="00FC00FE">
            <w:pPr>
              <w:rPr>
                <w:szCs w:val="21"/>
              </w:rPr>
            </w:pPr>
            <w:r>
              <w:rPr>
                <w:szCs w:val="21"/>
              </w:rPr>
              <w:t>5</w:t>
            </w:r>
            <w:r>
              <w:rPr>
                <w:rFonts w:hint="eastAsia"/>
                <w:szCs w:val="21"/>
              </w:rPr>
              <w:t>月</w:t>
            </w:r>
            <w:r>
              <w:rPr>
                <w:szCs w:val="21"/>
              </w:rPr>
              <w:t>1</w:t>
            </w:r>
            <w:r w:rsidR="00FD6C60">
              <w:rPr>
                <w:szCs w:val="21"/>
              </w:rPr>
              <w:t>5</w:t>
            </w:r>
            <w:r>
              <w:rPr>
                <w:rFonts w:hint="eastAsia"/>
                <w:szCs w:val="21"/>
              </w:rPr>
              <w:t>日</w:t>
            </w:r>
          </w:p>
        </w:tc>
        <w:tc>
          <w:tcPr>
            <w:tcW w:w="342" w:type="pct"/>
            <w:shd w:val="clear" w:color="auto" w:fill="auto"/>
            <w:vAlign w:val="center"/>
          </w:tcPr>
          <w:p w14:paraId="4D3F338A" w14:textId="646DC2C5" w:rsidR="00856D08" w:rsidRDefault="00856D08" w:rsidP="00FC00FE">
            <w:pPr>
              <w:rPr>
                <w:szCs w:val="21"/>
              </w:rPr>
            </w:pPr>
          </w:p>
        </w:tc>
        <w:tc>
          <w:tcPr>
            <w:tcW w:w="1782" w:type="pct"/>
            <w:shd w:val="clear" w:color="auto" w:fill="auto"/>
            <w:vAlign w:val="center"/>
          </w:tcPr>
          <w:p w14:paraId="4AEA0C90" w14:textId="61D5FE91" w:rsidR="00856D08" w:rsidRDefault="00856D08" w:rsidP="00FC00FE">
            <w:pPr>
              <w:rPr>
                <w:szCs w:val="21"/>
              </w:rPr>
            </w:pPr>
          </w:p>
        </w:tc>
        <w:tc>
          <w:tcPr>
            <w:tcW w:w="307" w:type="pct"/>
            <w:shd w:val="clear" w:color="auto" w:fill="auto"/>
            <w:vAlign w:val="center"/>
          </w:tcPr>
          <w:p w14:paraId="0FF0C8A8" w14:textId="6993FC4E" w:rsidR="00856D08" w:rsidRDefault="00DF6984" w:rsidP="00FC00FE">
            <w:pPr>
              <w:rPr>
                <w:szCs w:val="21"/>
              </w:rPr>
            </w:pPr>
            <w:r>
              <w:rPr>
                <w:rFonts w:hint="eastAsia"/>
                <w:szCs w:val="21"/>
              </w:rPr>
              <w:t>3</w:t>
            </w:r>
          </w:p>
        </w:tc>
        <w:tc>
          <w:tcPr>
            <w:tcW w:w="1568" w:type="pct"/>
            <w:shd w:val="clear" w:color="auto" w:fill="auto"/>
            <w:vAlign w:val="center"/>
          </w:tcPr>
          <w:p w14:paraId="234E8E6E" w14:textId="0304EBA1" w:rsidR="00856D08" w:rsidRDefault="00DF6984" w:rsidP="00FC00FE">
            <w:pPr>
              <w:rPr>
                <w:szCs w:val="21"/>
              </w:rPr>
            </w:pPr>
            <w:r>
              <w:rPr>
                <w:rFonts w:hint="eastAsia"/>
                <w:szCs w:val="21"/>
              </w:rPr>
              <w:t>小组</w:t>
            </w:r>
            <w:proofErr w:type="gramStart"/>
            <w:r>
              <w:rPr>
                <w:rFonts w:hint="eastAsia"/>
                <w:szCs w:val="21"/>
              </w:rPr>
              <w:t>作业汇报</w:t>
            </w:r>
            <w:proofErr w:type="gramEnd"/>
          </w:p>
        </w:tc>
      </w:tr>
    </w:tbl>
    <w:p w14:paraId="69DA7FA5" w14:textId="77777777" w:rsidR="00856D08" w:rsidRPr="00856D08" w:rsidRDefault="00856D08">
      <w:pPr>
        <w:tabs>
          <w:tab w:val="left" w:pos="3610"/>
        </w:tabs>
        <w:rPr>
          <w:rFonts w:ascii="宋体" w:hAnsi="宋体"/>
          <w:b/>
        </w:rPr>
      </w:pPr>
    </w:p>
    <w:sectPr w:rsidR="00856D08" w:rsidRPr="00856D08">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050AE" w14:textId="77777777" w:rsidR="00380BB9" w:rsidRDefault="00380BB9">
      <w:r>
        <w:separator/>
      </w:r>
    </w:p>
  </w:endnote>
  <w:endnote w:type="continuationSeparator" w:id="0">
    <w:p w14:paraId="03E728BE" w14:textId="77777777" w:rsidR="00380BB9" w:rsidRDefault="0038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B9CC" w14:textId="77777777" w:rsidR="00B615B6" w:rsidRDefault="00D97594">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D69C043" w14:textId="77777777" w:rsidR="00B615B6" w:rsidRDefault="00B615B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6CA8" w14:textId="77777777" w:rsidR="00B615B6" w:rsidRDefault="00D97594">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w:t>
    </w:r>
    <w:r>
      <w:rPr>
        <w:rStyle w:val="aa"/>
      </w:rPr>
      <w:fldChar w:fldCharType="end"/>
    </w:r>
  </w:p>
  <w:p w14:paraId="3DA0D182" w14:textId="77777777" w:rsidR="00B615B6" w:rsidRDefault="00B615B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DBA96" w14:textId="77777777" w:rsidR="00380BB9" w:rsidRDefault="00380BB9">
      <w:r>
        <w:separator/>
      </w:r>
    </w:p>
  </w:footnote>
  <w:footnote w:type="continuationSeparator" w:id="0">
    <w:p w14:paraId="4E33FF95" w14:textId="77777777" w:rsidR="00380BB9" w:rsidRDefault="00380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987D6E0B"/>
    <w:rsid w:val="BD3F69B4"/>
    <w:rsid w:val="D72F7C42"/>
    <w:rsid w:val="D79C50E7"/>
    <w:rsid w:val="DDBF695B"/>
    <w:rsid w:val="DEDFECF9"/>
    <w:rsid w:val="DFDFBC45"/>
    <w:rsid w:val="EAFABFBA"/>
    <w:rsid w:val="EED782DA"/>
    <w:rsid w:val="F7936FD7"/>
    <w:rsid w:val="FBFFB20E"/>
    <w:rsid w:val="FCF67470"/>
    <w:rsid w:val="FDFE3D78"/>
    <w:rsid w:val="FEFF088E"/>
    <w:rsid w:val="FF660A4F"/>
    <w:rsid w:val="FFFFC140"/>
    <w:rsid w:val="00010917"/>
    <w:rsid w:val="00030110"/>
    <w:rsid w:val="00055650"/>
    <w:rsid w:val="00056825"/>
    <w:rsid w:val="00085CC2"/>
    <w:rsid w:val="000A1C74"/>
    <w:rsid w:val="000B6F71"/>
    <w:rsid w:val="000C329D"/>
    <w:rsid w:val="000F597C"/>
    <w:rsid w:val="00102870"/>
    <w:rsid w:val="00105DD3"/>
    <w:rsid w:val="001273AA"/>
    <w:rsid w:val="00150FE9"/>
    <w:rsid w:val="00161040"/>
    <w:rsid w:val="00161265"/>
    <w:rsid w:val="001636D4"/>
    <w:rsid w:val="0016580A"/>
    <w:rsid w:val="00180B3B"/>
    <w:rsid w:val="00181774"/>
    <w:rsid w:val="00193B03"/>
    <w:rsid w:val="001A6233"/>
    <w:rsid w:val="001A6BCD"/>
    <w:rsid w:val="001C4B42"/>
    <w:rsid w:val="001D3ACA"/>
    <w:rsid w:val="001E66CC"/>
    <w:rsid w:val="001F5E1E"/>
    <w:rsid w:val="00235E7C"/>
    <w:rsid w:val="00246AD8"/>
    <w:rsid w:val="002472C5"/>
    <w:rsid w:val="00275017"/>
    <w:rsid w:val="002A125A"/>
    <w:rsid w:val="002A36F8"/>
    <w:rsid w:val="002A4A15"/>
    <w:rsid w:val="002C1EDB"/>
    <w:rsid w:val="002C3603"/>
    <w:rsid w:val="002C7D1B"/>
    <w:rsid w:val="002E1FE7"/>
    <w:rsid w:val="002F4283"/>
    <w:rsid w:val="00311521"/>
    <w:rsid w:val="00321178"/>
    <w:rsid w:val="003347B9"/>
    <w:rsid w:val="003435C8"/>
    <w:rsid w:val="00343CAD"/>
    <w:rsid w:val="00377859"/>
    <w:rsid w:val="00380BB9"/>
    <w:rsid w:val="003901DE"/>
    <w:rsid w:val="003E20A7"/>
    <w:rsid w:val="003F4D89"/>
    <w:rsid w:val="004125FE"/>
    <w:rsid w:val="004200F5"/>
    <w:rsid w:val="00431850"/>
    <w:rsid w:val="00435F04"/>
    <w:rsid w:val="00453388"/>
    <w:rsid w:val="004576C4"/>
    <w:rsid w:val="00473148"/>
    <w:rsid w:val="004A131C"/>
    <w:rsid w:val="004D2517"/>
    <w:rsid w:val="00504A84"/>
    <w:rsid w:val="00517DB4"/>
    <w:rsid w:val="0052764B"/>
    <w:rsid w:val="005509FA"/>
    <w:rsid w:val="005545FA"/>
    <w:rsid w:val="00560EA3"/>
    <w:rsid w:val="00580FA3"/>
    <w:rsid w:val="005B691D"/>
    <w:rsid w:val="005D0D0E"/>
    <w:rsid w:val="005E4F07"/>
    <w:rsid w:val="00600422"/>
    <w:rsid w:val="006041B7"/>
    <w:rsid w:val="0060778E"/>
    <w:rsid w:val="00613340"/>
    <w:rsid w:val="0064161E"/>
    <w:rsid w:val="00662177"/>
    <w:rsid w:val="00691A33"/>
    <w:rsid w:val="00693FAB"/>
    <w:rsid w:val="006A5B21"/>
    <w:rsid w:val="006B3CA9"/>
    <w:rsid w:val="006B5B50"/>
    <w:rsid w:val="007044B0"/>
    <w:rsid w:val="007275D6"/>
    <w:rsid w:val="0073727C"/>
    <w:rsid w:val="00746E38"/>
    <w:rsid w:val="00770B95"/>
    <w:rsid w:val="00774200"/>
    <w:rsid w:val="00793D9A"/>
    <w:rsid w:val="007A6B98"/>
    <w:rsid w:val="007B4681"/>
    <w:rsid w:val="007C293B"/>
    <w:rsid w:val="007D4A0D"/>
    <w:rsid w:val="007E0D78"/>
    <w:rsid w:val="00817F80"/>
    <w:rsid w:val="00836C86"/>
    <w:rsid w:val="00855619"/>
    <w:rsid w:val="00856D08"/>
    <w:rsid w:val="008D31BE"/>
    <w:rsid w:val="008F027C"/>
    <w:rsid w:val="008F3384"/>
    <w:rsid w:val="009035E7"/>
    <w:rsid w:val="009163DB"/>
    <w:rsid w:val="00925BCD"/>
    <w:rsid w:val="0092675D"/>
    <w:rsid w:val="00933957"/>
    <w:rsid w:val="00934E46"/>
    <w:rsid w:val="00957EC2"/>
    <w:rsid w:val="00971901"/>
    <w:rsid w:val="009A0B1A"/>
    <w:rsid w:val="009B63E9"/>
    <w:rsid w:val="009C2E30"/>
    <w:rsid w:val="009C4F2E"/>
    <w:rsid w:val="009D1F63"/>
    <w:rsid w:val="009D3810"/>
    <w:rsid w:val="009E7139"/>
    <w:rsid w:val="009F49C5"/>
    <w:rsid w:val="009F7252"/>
    <w:rsid w:val="00A06502"/>
    <w:rsid w:val="00A22677"/>
    <w:rsid w:val="00A22C20"/>
    <w:rsid w:val="00A2512F"/>
    <w:rsid w:val="00A2657E"/>
    <w:rsid w:val="00A43AEF"/>
    <w:rsid w:val="00A455C2"/>
    <w:rsid w:val="00A621E7"/>
    <w:rsid w:val="00A64391"/>
    <w:rsid w:val="00A9565E"/>
    <w:rsid w:val="00AE2F2E"/>
    <w:rsid w:val="00B10A4C"/>
    <w:rsid w:val="00B36998"/>
    <w:rsid w:val="00B615B6"/>
    <w:rsid w:val="00BB784B"/>
    <w:rsid w:val="00BD3287"/>
    <w:rsid w:val="00C002DF"/>
    <w:rsid w:val="00C268EC"/>
    <w:rsid w:val="00C716F9"/>
    <w:rsid w:val="00C778F5"/>
    <w:rsid w:val="00CA09BF"/>
    <w:rsid w:val="00CA0D91"/>
    <w:rsid w:val="00CB25C0"/>
    <w:rsid w:val="00D01D59"/>
    <w:rsid w:val="00D5482C"/>
    <w:rsid w:val="00D80FB2"/>
    <w:rsid w:val="00D97594"/>
    <w:rsid w:val="00DA0EB8"/>
    <w:rsid w:val="00DA60B0"/>
    <w:rsid w:val="00DF4229"/>
    <w:rsid w:val="00DF6984"/>
    <w:rsid w:val="00E06703"/>
    <w:rsid w:val="00E769E3"/>
    <w:rsid w:val="00E9780C"/>
    <w:rsid w:val="00EB4333"/>
    <w:rsid w:val="00EF5066"/>
    <w:rsid w:val="00F10ABD"/>
    <w:rsid w:val="00F25142"/>
    <w:rsid w:val="00F2602E"/>
    <w:rsid w:val="00F72123"/>
    <w:rsid w:val="00F82F01"/>
    <w:rsid w:val="00FA4103"/>
    <w:rsid w:val="00FC5C6B"/>
    <w:rsid w:val="00FD6C60"/>
    <w:rsid w:val="1D6A1D45"/>
    <w:rsid w:val="1FB65F33"/>
    <w:rsid w:val="29677E1E"/>
    <w:rsid w:val="31393EB9"/>
    <w:rsid w:val="3BFDA110"/>
    <w:rsid w:val="3EBFB4D5"/>
    <w:rsid w:val="4A3C1FC3"/>
    <w:rsid w:val="4FC44011"/>
    <w:rsid w:val="53220E17"/>
    <w:rsid w:val="5ADFAA95"/>
    <w:rsid w:val="5CCC15F4"/>
    <w:rsid w:val="5FCBB2FA"/>
    <w:rsid w:val="5FFD437B"/>
    <w:rsid w:val="5FFEDCBA"/>
    <w:rsid w:val="686C1C38"/>
    <w:rsid w:val="77DBDBAD"/>
    <w:rsid w:val="77EFDAC7"/>
    <w:rsid w:val="77FE144B"/>
    <w:rsid w:val="7EFCC932"/>
    <w:rsid w:val="7F6FE6EB"/>
    <w:rsid w:val="7F771B0F"/>
    <w:rsid w:val="7F77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B0657"/>
  <w15:docId w15:val="{8BA01667-7418-4132-B235-61AD0A48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pPr>
      <w:jc w:val="left"/>
    </w:pPr>
  </w:style>
  <w:style w:type="paragraph" w:styleId="a5">
    <w:name w:val="Plain Text"/>
    <w:basedOn w:val="a"/>
    <w:qFormat/>
    <w:rPr>
      <w:rFonts w:ascii="宋体" w:hAnsi="Courier New"/>
      <w:szCs w:val="20"/>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qFormat/>
    <w:rPr>
      <w:color w:val="0000FF"/>
      <w:u w:val="single"/>
    </w:rPr>
  </w:style>
  <w:style w:type="character" w:customStyle="1" w:styleId="a8">
    <w:name w:val="页眉 字符"/>
    <w:link w:val="a7"/>
    <w:qFormat/>
    <w:rPr>
      <w:kern w:val="2"/>
      <w:sz w:val="18"/>
      <w:szCs w:val="18"/>
    </w:rPr>
  </w:style>
  <w:style w:type="paragraph" w:customStyle="1" w:styleId="Style18">
    <w:name w:val="_Style 18"/>
    <w:basedOn w:val="a"/>
    <w:next w:val="a3"/>
    <w:qFormat/>
    <w:pPr>
      <w:ind w:firstLine="420"/>
    </w:pPr>
    <w:rPr>
      <w:szCs w:val="20"/>
    </w:rPr>
  </w:style>
  <w:style w:type="paragraph" w:customStyle="1" w:styleId="Style24">
    <w:name w:val="_Style 24"/>
    <w:basedOn w:val="a"/>
    <w:next w:val="ac"/>
    <w:uiPriority w:val="34"/>
    <w:qFormat/>
    <w:pPr>
      <w:ind w:firstLineChars="200" w:firstLine="420"/>
    </w:pPr>
    <w:rPr>
      <w:rFonts w:ascii="Calibri" w:hAnsi="Calibri"/>
      <w:szCs w:val="22"/>
    </w:rPr>
  </w:style>
  <w:style w:type="paragraph" w:styleId="ac">
    <w:name w:val="List Paragraph"/>
    <w:basedOn w:val="a"/>
    <w:uiPriority w:val="34"/>
    <w:qFormat/>
    <w:pPr>
      <w:ind w:firstLineChars="200" w:firstLine="420"/>
    </w:pPr>
  </w:style>
  <w:style w:type="character" w:styleId="ad">
    <w:name w:val="Placeholder Text"/>
    <w:basedOn w:val="a0"/>
    <w:uiPriority w:val="99"/>
    <w:unhideWhenUsed/>
    <w:qFormat/>
    <w:rPr>
      <w:color w:val="808080"/>
    </w:rPr>
  </w:style>
  <w:style w:type="character" w:styleId="ae">
    <w:name w:val="annotation reference"/>
    <w:basedOn w:val="a0"/>
    <w:rPr>
      <w:sz w:val="21"/>
      <w:szCs w:val="21"/>
    </w:rPr>
  </w:style>
  <w:style w:type="paragraph" w:styleId="af">
    <w:name w:val="Balloon Text"/>
    <w:basedOn w:val="a"/>
    <w:link w:val="af0"/>
    <w:rsid w:val="009D1F63"/>
    <w:rPr>
      <w:sz w:val="18"/>
      <w:szCs w:val="18"/>
    </w:rPr>
  </w:style>
  <w:style w:type="character" w:customStyle="1" w:styleId="af0">
    <w:name w:val="批注框文本 字符"/>
    <w:basedOn w:val="a0"/>
    <w:link w:val="af"/>
    <w:rsid w:val="009D1F63"/>
    <w:rPr>
      <w:kern w:val="2"/>
      <w:sz w:val="18"/>
      <w:szCs w:val="18"/>
    </w:rPr>
  </w:style>
  <w:style w:type="paragraph" w:styleId="af1">
    <w:name w:val="footnote text"/>
    <w:basedOn w:val="a"/>
    <w:link w:val="af2"/>
    <w:rsid w:val="009D1F63"/>
    <w:pPr>
      <w:snapToGrid w:val="0"/>
      <w:jc w:val="left"/>
    </w:pPr>
    <w:rPr>
      <w:sz w:val="18"/>
      <w:szCs w:val="18"/>
    </w:rPr>
  </w:style>
  <w:style w:type="character" w:customStyle="1" w:styleId="af2">
    <w:name w:val="脚注文本 字符"/>
    <w:basedOn w:val="a0"/>
    <w:link w:val="af1"/>
    <w:rsid w:val="009D1F63"/>
    <w:rPr>
      <w:kern w:val="2"/>
      <w:sz w:val="18"/>
      <w:szCs w:val="18"/>
    </w:rPr>
  </w:style>
  <w:style w:type="character" w:styleId="af3">
    <w:name w:val="Unresolved Mention"/>
    <w:basedOn w:val="a0"/>
    <w:uiPriority w:val="99"/>
    <w:semiHidden/>
    <w:unhideWhenUsed/>
    <w:rsid w:val="00F2602E"/>
    <w:rPr>
      <w:color w:val="605E5C"/>
      <w:shd w:val="clear" w:color="auto" w:fill="E1DFDD"/>
    </w:rPr>
  </w:style>
  <w:style w:type="paragraph" w:styleId="af4">
    <w:name w:val="Normal (Web)"/>
    <w:basedOn w:val="a"/>
    <w:uiPriority w:val="99"/>
    <w:unhideWhenUsed/>
    <w:qFormat/>
    <w:rsid w:val="00856D0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727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vas.shufe.edu.cn/courses/40612/modu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898</Words>
  <Characters>5122</Characters>
  <Application>Microsoft Office Word</Application>
  <DocSecurity>0</DocSecurity>
  <Lines>42</Lines>
  <Paragraphs>12</Paragraphs>
  <ScaleCrop>false</ScaleCrop>
  <Company>小熔工作室</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Li</cp:lastModifiedBy>
  <cp:revision>10</cp:revision>
  <cp:lastPrinted>2007-03-06T05:03:00Z</cp:lastPrinted>
  <dcterms:created xsi:type="dcterms:W3CDTF">2024-03-05T01:38:00Z</dcterms:created>
  <dcterms:modified xsi:type="dcterms:W3CDTF">2026-03-01T10:54:00Z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eyJoZGlkIjoiY2Q0MDQyYjFkOTYyMTc0MzQ1OTJkZjRlMWQ5MGNhZDUiLCJ1c2VySWQiOiIxNjAwNDU2NDE0In0=</vt:lpwstr>
  </property>
</Properties>
</file>