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《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当代中国新闻媒体研究</w:t>
      </w:r>
      <w:r>
        <w:rPr>
          <w:rFonts w:hint="eastAsia" w:ascii="黑体" w:hAnsi="黑体" w:eastAsia="黑体"/>
          <w:sz w:val="40"/>
          <w:szCs w:val="40"/>
        </w:rPr>
        <w:t>》</w:t>
      </w:r>
      <w:r>
        <w:rPr>
          <w:rFonts w:hint="eastAsia" w:ascii="黑体" w:hAnsi="黑体" w:eastAsia="黑体"/>
          <w:sz w:val="40"/>
          <w:szCs w:val="40"/>
          <w:lang w:val="en-US" w:eastAsia="zh-Hans"/>
        </w:rPr>
        <w:t>教学设计节段</w:t>
      </w:r>
      <w:r>
        <w:rPr>
          <w:rFonts w:hint="default" w:ascii="黑体" w:hAnsi="黑体" w:eastAsia="黑体"/>
          <w:sz w:val="40"/>
          <w:szCs w:val="40"/>
          <w:lang w:eastAsia="zh-Hans"/>
        </w:rPr>
        <w:t>1</w:t>
      </w:r>
      <w:bookmarkStart w:id="1" w:name="_GoBack"/>
      <w:bookmarkEnd w:id="1"/>
    </w:p>
    <w:p>
      <w:pPr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ascii="黑体" w:hAnsi="黑体" w:eastAsia="黑体"/>
          <w:sz w:val="40"/>
          <w:szCs w:val="40"/>
        </w:rPr>
        <w:t>第一讲</w:t>
      </w:r>
      <w:r>
        <w:rPr>
          <w:rFonts w:hint="eastAsia" w:ascii="黑体" w:hAnsi="黑体" w:eastAsia="黑体"/>
          <w:sz w:val="40"/>
          <w:szCs w:val="40"/>
          <w:lang w:eastAsia="zh-CN"/>
        </w:rPr>
        <w:t>（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之一</w:t>
      </w:r>
      <w:r>
        <w:rPr>
          <w:rFonts w:hint="eastAsia" w:ascii="黑体" w:hAnsi="黑体" w:eastAsia="黑体"/>
          <w:sz w:val="40"/>
          <w:szCs w:val="40"/>
          <w:lang w:eastAsia="zh-CN"/>
        </w:rPr>
        <w:t>）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 xml:space="preserve"> 导言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b/>
          <w:bCs/>
          <w:kern w:val="0"/>
          <w:sz w:val="28"/>
          <w:szCs w:val="28"/>
        </w:rPr>
      </w:pPr>
      <w:bookmarkStart w:id="0" w:name="_Toc451361182"/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教学目的</w:t>
      </w:r>
      <w:bookmarkEnd w:id="0"/>
    </w:p>
    <w:p>
      <w:pPr>
        <w:spacing w:line="360" w:lineRule="auto"/>
        <w:ind w:firstLine="482" w:firstLineChars="200"/>
        <w:rPr>
          <w:rFonts w:ascii="宋体" w:hAnsi="宋体"/>
          <w:spacing w:val="2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本学时的教学目的包括：</w:t>
      </w:r>
      <w:r>
        <w:rPr>
          <w:rFonts w:hint="eastAsia" w:ascii="仿宋" w:hAnsi="仿宋" w:eastAsia="仿宋"/>
          <w:sz w:val="24"/>
          <w:szCs w:val="24"/>
        </w:rPr>
        <w:t>第一，介绍课程总体特色和教学要求，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尝试</w:t>
      </w:r>
      <w:r>
        <w:rPr>
          <w:rFonts w:hint="eastAsia" w:ascii="仿宋" w:hAnsi="仿宋" w:eastAsia="仿宋"/>
          <w:sz w:val="24"/>
          <w:szCs w:val="24"/>
        </w:rPr>
        <w:t>组建课程讨论群；第二，主要依据教学大纲向学生推荐本学期阅读推荐书目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包括中外媒体研究报告、相关影像资料等 </w:t>
      </w:r>
      <w:r>
        <w:rPr>
          <w:rFonts w:hint="eastAsia" w:ascii="宋体" w:hAnsi="宋体"/>
          <w:spacing w:val="2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教学思想</w:t>
      </w:r>
    </w:p>
    <w:p>
      <w:pPr>
        <w:spacing w:line="400" w:lineRule="exact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教学总体思想：</w:t>
      </w:r>
      <w:r>
        <w:rPr>
          <w:rFonts w:hint="eastAsia" w:ascii="仿宋" w:hAnsi="仿宋" w:eastAsia="仿宋"/>
          <w:sz w:val="24"/>
          <w:szCs w:val="24"/>
        </w:rPr>
        <w:t>本学时是全课程的第一讲也是导论部分，要向学生介绍课程的总体特色，从研讨课的特点出发，对大学新生传授研讨式教学的特点和要求，确立全课程各个阶段的教学内容和基本形式，布置课外阅读书目，组建课后课程讨论群</w:t>
      </w:r>
    </w:p>
    <w:p>
      <w:pPr>
        <w:spacing w:line="40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教学思路和教学过程：本学时首先从整体上围绕教学大纲介绍</w:t>
      </w:r>
      <w:r>
        <w:rPr>
          <w:rFonts w:hint="eastAsia" w:ascii="仿宋" w:hAnsi="仿宋" w:eastAsia="仿宋"/>
          <w:sz w:val="24"/>
          <w:szCs w:val="24"/>
        </w:rPr>
        <w:t>课程总体特色和教学要求，组建课程讨论群，推荐课外阅读书目；然后围绕。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教学分析</w:t>
      </w:r>
      <w:r>
        <w:rPr>
          <w:rFonts w:hint="eastAsia" w:ascii="仿宋_GB2312" w:hAnsi="华文仿宋" w:eastAsia="仿宋_GB2312"/>
          <w:b/>
          <w:sz w:val="28"/>
          <w:szCs w:val="28"/>
        </w:rPr>
        <w:t>（内容、重难点）</w:t>
      </w:r>
    </w:p>
    <w:p>
      <w:pPr>
        <w:spacing w:line="400" w:lineRule="exact"/>
        <w:ind w:firstLine="57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本课时的教学内容包括：</w:t>
      </w:r>
      <w:r>
        <w:rPr>
          <w:rFonts w:hint="eastAsia" w:ascii="仿宋" w:hAnsi="仿宋" w:eastAsia="仿宋"/>
          <w:sz w:val="24"/>
          <w:szCs w:val="24"/>
        </w:rPr>
        <w:t>第一，介绍课程整体特色和教学要求；第二，要依据教学大纲向学生推荐本学期阅读推荐书目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包括中外媒体研究报告、相关影像资料等</w:t>
      </w:r>
      <w:r>
        <w:rPr>
          <w:rFonts w:hint="eastAsia" w:ascii="仿宋" w:hAnsi="仿宋" w:eastAsia="仿宋"/>
          <w:sz w:val="24"/>
          <w:szCs w:val="24"/>
        </w:rPr>
        <w:t>，倡导精度和深度阅读。</w:t>
      </w:r>
    </w:p>
    <w:p>
      <w:pPr>
        <w:spacing w:line="400" w:lineRule="exact"/>
        <w:ind w:firstLine="57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本课时教学的重点有两个：</w:t>
      </w:r>
      <w:r>
        <w:rPr>
          <w:rFonts w:hint="eastAsia" w:ascii="仿宋" w:hAnsi="仿宋" w:eastAsia="仿宋"/>
          <w:sz w:val="24"/>
          <w:szCs w:val="24"/>
        </w:rPr>
        <w:t>第一，推荐围绕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当代</w:t>
      </w:r>
      <w:r>
        <w:rPr>
          <w:rFonts w:hint="eastAsia" w:ascii="仿宋" w:hAnsi="仿宋" w:eastAsia="仿宋"/>
          <w:sz w:val="24"/>
          <w:szCs w:val="24"/>
        </w:rPr>
        <w:t>媒体研究的中外经典文献或者研究报告；第二，以现场调查、现场讨论的形式导入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中国</w:t>
      </w:r>
      <w:r>
        <w:rPr>
          <w:rFonts w:hint="eastAsia" w:ascii="仿宋" w:hAnsi="仿宋" w:eastAsia="仿宋"/>
          <w:sz w:val="24"/>
          <w:szCs w:val="24"/>
        </w:rPr>
        <w:t>媒体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研究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逻辑起点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00" w:lineRule="exact"/>
        <w:ind w:firstLine="57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本学时教学的难点</w:t>
      </w:r>
      <w:r>
        <w:rPr>
          <w:rFonts w:hint="eastAsia" w:ascii="仿宋" w:hAnsi="仿宋" w:eastAsia="仿宋"/>
          <w:sz w:val="24"/>
          <w:szCs w:val="24"/>
        </w:rPr>
        <w:t>：难点在于引导新生逐步适应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研究生</w:t>
      </w:r>
      <w:r>
        <w:rPr>
          <w:rFonts w:hint="eastAsia" w:ascii="仿宋" w:hAnsi="仿宋" w:eastAsia="仿宋"/>
          <w:sz w:val="24"/>
          <w:szCs w:val="24"/>
        </w:rPr>
        <w:t>课程浓厚的研究式学习和讨论式教学，改变简单的传受式学习方式。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教学方法和策略</w:t>
      </w:r>
    </w:p>
    <w:p>
      <w:pPr>
        <w:spacing w:line="400" w:lineRule="exact"/>
        <w:ind w:firstLine="573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本学时的教学方法包括：</w:t>
      </w:r>
      <w:r>
        <w:rPr>
          <w:rFonts w:hint="eastAsia" w:ascii="仿宋" w:hAnsi="仿宋" w:eastAsia="仿宋"/>
          <w:sz w:val="24"/>
          <w:szCs w:val="24"/>
        </w:rPr>
        <w:t>第一，讲授法，即通过教师讲述使学生了解；第二，提问法和引导法，在和学生的答问中引入新概念；第三，讨论法，组织现场讨论，让学生适应研讨的氛围。</w:t>
      </w:r>
    </w:p>
    <w:p>
      <w:pPr>
        <w:spacing w:line="400" w:lineRule="exact"/>
        <w:ind w:firstLine="573"/>
        <w:rPr>
          <w:rFonts w:ascii="仿宋_GB2312" w:eastAsia="仿宋_GB2312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本学时的教学策略包括：</w:t>
      </w:r>
      <w:r>
        <w:rPr>
          <w:rFonts w:hint="eastAsia" w:ascii="仿宋" w:hAnsi="仿宋" w:eastAsia="仿宋"/>
          <w:sz w:val="24"/>
          <w:szCs w:val="24"/>
        </w:rPr>
        <w:t>第一，图文并茂，声画同步。以图片和微视频等影像资料为代表的图文并茂、声画同步资料可以增强学生的感官影响，更有利于学生记忆和掌握知识；第二，随堂课堂讨论。从学生亲身填写的经历和认识出发组织课堂讨论。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教学安排</w:t>
      </w:r>
    </w:p>
    <w:p>
      <w:pPr>
        <w:spacing w:line="400" w:lineRule="exact"/>
        <w:ind w:firstLine="482" w:firstLineChars="200"/>
        <w:rPr>
          <w:b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本学时的教学安排如下：课堂讲授</w:t>
      </w:r>
      <w:r>
        <w:rPr>
          <w:rFonts w:hint="eastAsia" w:ascii="仿宋" w:hAnsi="仿宋" w:eastAsia="仿宋"/>
          <w:sz w:val="24"/>
          <w:szCs w:val="24"/>
        </w:rPr>
        <w:t>约用时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2课时计90</w:t>
      </w:r>
      <w:r>
        <w:rPr>
          <w:rFonts w:hint="eastAsia" w:ascii="仿宋" w:hAnsi="仿宋" w:eastAsia="仿宋"/>
          <w:sz w:val="24"/>
          <w:szCs w:val="24"/>
        </w:rPr>
        <w:t>分钟，随堂调研和讨论约用时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45</w:t>
      </w:r>
      <w:r>
        <w:rPr>
          <w:rFonts w:hint="eastAsia" w:ascii="仿宋" w:hAnsi="仿宋" w:eastAsia="仿宋"/>
          <w:sz w:val="24"/>
          <w:szCs w:val="24"/>
        </w:rPr>
        <w:t>分钟，合计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135</w:t>
      </w:r>
      <w:r>
        <w:rPr>
          <w:rFonts w:hint="eastAsia" w:ascii="仿宋" w:hAnsi="仿宋" w:eastAsia="仿宋"/>
          <w:sz w:val="24"/>
          <w:szCs w:val="24"/>
        </w:rPr>
        <w:t>分钟。</w:t>
      </w:r>
    </w:p>
    <w:p>
      <w:pPr>
        <w:rPr>
          <w:rFonts w:ascii="黑体" w:hAnsi="黑体" w:eastAsia="黑体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Yu Gothic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EA676"/>
    <w:rsid w:val="1F7FD2A8"/>
    <w:rsid w:val="339E2223"/>
    <w:rsid w:val="5B7F7F21"/>
    <w:rsid w:val="7BDEAE2D"/>
    <w:rsid w:val="7EFFD189"/>
    <w:rsid w:val="7F3E189E"/>
    <w:rsid w:val="BDFEA676"/>
    <w:rsid w:val="DEDD94DF"/>
    <w:rsid w:val="DFDE25EF"/>
    <w:rsid w:val="EBFF7645"/>
    <w:rsid w:val="F7FD2C14"/>
    <w:rsid w:val="FD9A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2020-10-28T13:51:00Z</dcterms:created>
  <dc:creator>soyrocio</dc:creator>
  <cp:lastModifiedBy>soyrocio</cp:lastModifiedBy>
  <dcterms:modified xsi:type="dcterms:W3CDTF">2020-10-28T14:19:45Z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