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《当代中</w:t>
      </w: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eastAsia="zh-CN"/>
        </w:rPr>
        <w:t>国新闻媒体研究》教学设计节段4</w:t>
      </w:r>
    </w:p>
    <w:p>
      <w:pPr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第二讲“迟了总比错了好”：网络时代的“慢报道”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1.教学目的</w:t>
      </w:r>
    </w:p>
    <w:p>
      <w:pPr>
        <w:numPr>
          <w:ilvl w:val="0"/>
          <w:numId w:val="0"/>
        </w:numPr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本学时的教学目的包括：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第一，强调网络时代“慢报道”的重要性和必要性；第二，指出报道事实是新闻媒体的核心价值所在；第三，分析，网络时代“慢报道”存在的危机。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2.教学思想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教学总体思想：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本学时是全课程的第二讲，旨在向学生介绍网络时代“慢报道”的价值，以及通过讲授和讨论的形式分析当前“慢报道”危机与价值。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教学思路和教学过程：本学时首先从整体上介绍“慢报道”所面临的危机和所具有的价值。再分别结合实事案例进行具体化分析，并组建课堂讨论。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3.教学分析（内容、重难点）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本课时的教学内容包括：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第一，指出“慢报道”在网络时代存在的必要性和重要性；第二，介绍网络时代下，报道事实是“慢报道”的核心价值所在；第三，结合案例，分析“慢报道”所面临的危机和当前报道失范的原因。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本课时的教学重点：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结合具体案例，分析报道示范的原因和“慢报道”面临的危机以及核心价值所在。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本课时的教学难点：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难点在于引导学生对“慢报道”核心价值的进一步思考和提出建设性意见。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4.教学方法和策略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本学时的教学方法包括：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第一，讲授法，即通过教师讲述使学生了解；第二，提问法和引导法，在和学生的问答中从讲述向更深度行进；第三，讨论法，组织现场讨论，让学生适应研讨的氛围。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本学时的教学策略包括：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第一，图文并茂，以图片增强学生感官影响；第二，列举典型案例，通过典型案例让学生深入并具体地了解概念；第三，随堂课堂讨论，邀请学生结合自己的阅读精力和认识出发组织课堂讨论。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5.教学安排</w:t>
      </w:r>
    </w:p>
    <w:p>
      <w:pPr>
        <w:numPr>
          <w:ilvl w:val="0"/>
          <w:numId w:val="0"/>
        </w:numPr>
        <w:ind w:leftChars="0"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本学时的教学安排如下：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课堂讲授约用时2课时计时90分钟，随堂研讨和讨论约用时45分钟，合计135分钟。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PGothic">
    <w:altName w:val="Hiragino Sans"/>
    <w:panose1 w:val="020B0600070205080204"/>
    <w:charset w:val="80"/>
    <w:family w:val="auto"/>
    <w:pitch w:val="default"/>
    <w:sig w:usb0="00000000" w:usb1="00000000" w:usb2="08000012" w:usb3="00000000" w:csb0="4002009F" w:csb1="DFD70000"/>
  </w:font>
  <w:font w:name="Yu Gothic">
    <w:altName w:val="Hiragino Sans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">
    <w:altName w:val="Apple SD Gothic Neo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5E85"/>
    <w:rsid w:val="75D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2020-10-28T14:13:00Z</dcterms:created>
  <dc:creator>soyrocio</dc:creator>
  <cp:lastModifiedBy>soyrocio</cp:lastModifiedBy>
  <dcterms:modified xsi:type="dcterms:W3CDTF">2020-10-28T14:14:08Z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