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民法学1教学大纲</w:t>
      </w:r>
    </w:p>
    <w:p>
      <w:pPr>
        <w:numPr>
          <w:ilvl w:val="0"/>
          <w:numId w:val="1"/>
        </w:numPr>
        <w:spacing w:line="360" w:lineRule="auto"/>
        <w:ind w:firstLine="482" w:firstLineChars="200"/>
        <w:outlineLvl w:val="1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授课目标</w:t>
      </w:r>
    </w:p>
    <w:p>
      <w:pPr>
        <w:numPr>
          <w:ilvl w:val="0"/>
          <w:numId w:val="2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概念：基本概念及基本概念之间的关系辨析</w:t>
      </w:r>
    </w:p>
    <w:p>
      <w:pPr>
        <w:numPr>
          <w:ilvl w:val="0"/>
          <w:numId w:val="2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原理：基本原理及基本原理之间的关系辨析</w:t>
      </w:r>
    </w:p>
    <w:p>
      <w:pPr>
        <w:numPr>
          <w:ilvl w:val="0"/>
          <w:numId w:val="2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制度：与课程内容有关的法律、司法解释条文</w:t>
      </w:r>
    </w:p>
    <w:p>
      <w:pPr>
        <w:numPr>
          <w:ilvl w:val="0"/>
          <w:numId w:val="1"/>
        </w:numPr>
        <w:spacing w:line="360" w:lineRule="auto"/>
        <w:ind w:firstLine="482" w:firstLineChars="200"/>
        <w:outlineLvl w:val="1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考试方法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课程成绩 = 平时成绩 * 50% + 期末考试成绩 * 50%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平时成绩 = 平时测验成绩50%  + 课堂表现成绩50%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平时测验成绩 = 测验1成绩 + 测验2成绩 + 测验3成绩 + 测验4成绩，折合为百分制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课堂表现成绩 = 学生讲课次数* 20分+课堂发言次数 * 5分，折合为百分制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期末考试成绩 = 判断正误10分 + 单向选择50分 + 多项选择20分 + 案例20分</w:t>
      </w:r>
    </w:p>
    <w:p>
      <w:pPr>
        <w:numPr>
          <w:ilvl w:val="0"/>
          <w:numId w:val="0"/>
        </w:numPr>
        <w:spacing w:line="360" w:lineRule="auto"/>
        <w:ind w:left="480" w:leftChars="0" w:firstLine="482" w:firstLineChars="200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说明：最终成绩客观化，没有及格率要求，不做正态分布。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教学手段：</w:t>
      </w:r>
      <w:r>
        <w:rPr>
          <w:rFonts w:hint="eastAsia" w:ascii="楷体_GB2312" w:eastAsia="楷体_GB2312"/>
          <w:sz w:val="24"/>
          <w:szCs w:val="20"/>
        </w:rPr>
        <w:t>讲课与案例分析及讨论相结合、板书与多媒体相结合。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考核方法：</w:t>
      </w:r>
      <w:r>
        <w:rPr>
          <w:rFonts w:hint="eastAsia" w:ascii="楷体_GB2312" w:eastAsia="楷体_GB2312"/>
          <w:sz w:val="24"/>
          <w:szCs w:val="20"/>
        </w:rPr>
        <w:t>考试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绪言：民法的性质与民法方法论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</w:rPr>
      </w:pPr>
      <w:r>
        <w:rPr>
          <w:rFonts w:hint="eastAsia" w:ascii="楷体_GB2312" w:eastAsia="楷体_GB2312"/>
          <w:sz w:val="24"/>
          <w:szCs w:val="20"/>
        </w:rPr>
        <w:t>引子：民法与市民生活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民法是市民法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民法是私法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民法是权利法</w:t>
      </w:r>
      <w:bookmarkStart w:id="0" w:name="_GoBack"/>
      <w:bookmarkEnd w:id="0"/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小结：民法是什么？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民法典与民法法律渊源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</w:rPr>
      </w:pPr>
      <w:r>
        <w:rPr>
          <w:rFonts w:hint="eastAsia" w:ascii="楷体_GB2312" w:eastAsia="楷体_GB2312"/>
          <w:sz w:val="24"/>
          <w:szCs w:val="20"/>
        </w:rPr>
        <w:t>民法法典化的历史与现代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</w:rPr>
      </w:pPr>
      <w:r>
        <w:rPr>
          <w:rFonts w:hint="eastAsia" w:ascii="楷体_GB2312" w:eastAsia="楷体_GB2312"/>
          <w:sz w:val="24"/>
          <w:szCs w:val="20"/>
        </w:rPr>
        <w:t>我国民法的法律渊源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民法原则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民法典•民法总则的规定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民法基本原则的理论逻辑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诚实信用原则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公序良俗原则</w:t>
      </w:r>
    </w:p>
    <w:p>
      <w:pPr>
        <w:numPr>
          <w:numId w:val="0"/>
        </w:numPr>
        <w:ind w:leftChars="0"/>
        <w:rPr>
          <w:rFonts w:hint="eastAsia" w:eastAsia="宋体"/>
          <w:lang w:val="en-US" w:eastAsia="zh-CN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民事权利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民事法律关系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民事权利原理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人身权与财产权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绝对权与相对权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支配权、请求权、形成权、抗辩权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民事义务与民事责任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权利主体——自然人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民事权利能力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民事行为能力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监护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宣告失踪与宣告死亡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人格权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住所</w:t>
      </w:r>
    </w:p>
    <w:p>
      <w:pPr>
        <w:numPr>
          <w:numId w:val="0"/>
        </w:numPr>
        <w:ind w:leftChars="0"/>
        <w:jc w:val="left"/>
        <w:rPr>
          <w:rFonts w:hint="eastAsia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权利主体——法人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法人概述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法人的民事能力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法人的分类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法人的机关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法人的住所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法人的消灭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default" w:ascii="楷体_GB2312" w:eastAsia="楷体_GB2312"/>
          <w:b/>
          <w:sz w:val="32"/>
          <w:szCs w:val="32"/>
          <w:lang w:val="en-US" w:eastAsia="zh-CN"/>
        </w:rPr>
        <w:t>法律行为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法律行为概述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法律行为的分类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法律行为的成立要件和生效要件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意思表示（打赌赠与红旗汽车案。戏谑？）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意思表示的瑕疵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法律行为的效力：无效、可撤销与效力未定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法律行为的条件和期限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default" w:ascii="楷体_GB2312" w:eastAsia="楷体_GB2312"/>
          <w:b/>
          <w:sz w:val="32"/>
          <w:szCs w:val="32"/>
          <w:lang w:val="en-US" w:eastAsia="zh-CN"/>
        </w:rPr>
        <w:t>代理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代理概述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代理的分类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代理权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无权代理与表见代理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default" w:ascii="楷体_GB2312" w:eastAsia="楷体_GB2312"/>
          <w:b/>
          <w:sz w:val="32"/>
          <w:szCs w:val="32"/>
          <w:lang w:val="en-US" w:eastAsia="zh-CN"/>
        </w:rPr>
        <w:t>诉讼时效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诉讼时效概述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诉讼时效的效力和客体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诉讼时效的期间：中断、中止、延长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诉讼时效完成后的效果：抛弃与给付</w:t>
      </w:r>
    </w:p>
    <w:p>
      <w:pPr>
        <w:numPr>
          <w:numId w:val="0"/>
        </w:numPr>
        <w:tabs>
          <w:tab w:val="left" w:pos="1939"/>
        </w:tabs>
        <w:ind w:leftChars="0"/>
        <w:jc w:val="left"/>
        <w:rPr>
          <w:rFonts w:hint="default"/>
          <w:lang w:val="en-US" w:eastAsia="zh-CN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spacing w:line="360" w:lineRule="auto"/>
        <w:jc w:val="left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参考文献</w:t>
      </w:r>
    </w:p>
    <w:p>
      <w:pPr>
        <w:numPr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梁慧星：《民法总论》（第五版），法律出版社。</w:t>
      </w:r>
    </w:p>
    <w:p>
      <w:pPr>
        <w:numPr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朱庆育：《民法总论》（第二版），北京大学出版社。</w:t>
      </w:r>
    </w:p>
    <w:p>
      <w:pPr>
        <w:numPr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王泽鉴：《民法总则》，北京大学出版社。</w:t>
      </w:r>
    </w:p>
    <w:p>
      <w:pPr>
        <w:numPr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[德]布洛克斯、瓦尔克：《德国民法总论》，中国人民大学出版社。</w:t>
      </w:r>
    </w:p>
    <w:p>
      <w:pPr>
        <w:widowControl/>
        <w:jc w:val="lef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2A558"/>
    <w:multiLevelType w:val="singleLevel"/>
    <w:tmpl w:val="82C2A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36D4E1"/>
    <w:multiLevelType w:val="singleLevel"/>
    <w:tmpl w:val="8E36D4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7B7AAE0"/>
    <w:multiLevelType w:val="singleLevel"/>
    <w:tmpl w:val="A7B7AA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CCBF9D5"/>
    <w:multiLevelType w:val="singleLevel"/>
    <w:tmpl w:val="ACCBF9D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B7094CB2"/>
    <w:multiLevelType w:val="singleLevel"/>
    <w:tmpl w:val="B7094CB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DF466545"/>
    <w:multiLevelType w:val="singleLevel"/>
    <w:tmpl w:val="DF4665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AB43356"/>
    <w:multiLevelType w:val="multilevel"/>
    <w:tmpl w:val="1AB43356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1380"/>
        </w:tabs>
        <w:ind w:left="138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7">
    <w:nsid w:val="284531B2"/>
    <w:multiLevelType w:val="singleLevel"/>
    <w:tmpl w:val="284531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2607424"/>
    <w:multiLevelType w:val="singleLevel"/>
    <w:tmpl w:val="326074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FB1ACC6"/>
    <w:multiLevelType w:val="singleLevel"/>
    <w:tmpl w:val="3FB1ACC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0">
    <w:nsid w:val="501584FD"/>
    <w:multiLevelType w:val="singleLevel"/>
    <w:tmpl w:val="501584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5BF1FEBE"/>
    <w:multiLevelType w:val="singleLevel"/>
    <w:tmpl w:val="5BF1FE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MGM1ZWY4NmJlNmQyZDZjMmMyNjgyOTlkYThhZWUifQ=="/>
  </w:docVars>
  <w:rsids>
    <w:rsidRoot w:val="00F3205F"/>
    <w:rsid w:val="00191DA0"/>
    <w:rsid w:val="002226FA"/>
    <w:rsid w:val="00246A0B"/>
    <w:rsid w:val="00345997"/>
    <w:rsid w:val="003D7B20"/>
    <w:rsid w:val="004A3928"/>
    <w:rsid w:val="004E5F52"/>
    <w:rsid w:val="00524BF4"/>
    <w:rsid w:val="007B7A00"/>
    <w:rsid w:val="007C3CB6"/>
    <w:rsid w:val="008D7E5B"/>
    <w:rsid w:val="008E304E"/>
    <w:rsid w:val="008F12F9"/>
    <w:rsid w:val="00B95881"/>
    <w:rsid w:val="00BB4B19"/>
    <w:rsid w:val="00D61E54"/>
    <w:rsid w:val="00D62E34"/>
    <w:rsid w:val="00D71971"/>
    <w:rsid w:val="00DC2D94"/>
    <w:rsid w:val="00E96472"/>
    <w:rsid w:val="00F16417"/>
    <w:rsid w:val="00F3205F"/>
    <w:rsid w:val="00F94FB5"/>
    <w:rsid w:val="698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2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脚注文本 字符"/>
    <w:basedOn w:val="8"/>
    <w:link w:val="6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主题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7EB7-AED2-4F49-8781-CABE0935A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652</Characters>
  <Lines>15</Lines>
  <Paragraphs>9</Paragraphs>
  <TotalTime>2</TotalTime>
  <ScaleCrop>false</ScaleCrop>
  <LinksUpToDate>false</LinksUpToDate>
  <CharactersWithSpaces>675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2017-02-26T15:42:00Z</dcterms:created>
  <dc:creator>X1 Carbon</dc:creator>
  <cp:lastModifiedBy>yu</cp:lastModifiedBy>
  <dcterms:modified xsi:type="dcterms:W3CDTF">2022-10-25T14:21:21Z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9CDE32A0627C4C40AEC459345997DC87</vt:lpwstr>
  </property>
</Properties>
</file>